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sz w:val="44"/>
          <w:lang w:eastAsia="zh-CN"/>
        </w:rPr>
      </w:pPr>
      <w:r>
        <w:rPr>
          <w:rFonts w:hint="eastAsia" w:ascii="宋体" w:hAnsi="宋体"/>
          <w:b/>
          <w:sz w:val="44"/>
          <w:lang w:eastAsia="zh-CN"/>
        </w:rPr>
        <w:t>采购内容及要求</w:t>
      </w:r>
      <w:bookmarkStart w:id="1" w:name="_GoBack"/>
      <w:bookmarkEnd w:id="1"/>
    </w:p>
    <w:p>
      <w:pPr>
        <w:pStyle w:val="4"/>
        <w:numPr>
          <w:ilvl w:val="0"/>
          <w:numId w:val="0"/>
        </w:numPr>
        <w:spacing w:line="460" w:lineRule="exact"/>
        <w:rPr>
          <w:rFonts w:hint="eastAsia" w:hAnsi="宋体"/>
          <w:b/>
          <w:sz w:val="24"/>
          <w:lang w:eastAsia="zh-CN"/>
        </w:rPr>
      </w:pPr>
      <w:r>
        <w:rPr>
          <w:rFonts w:hint="eastAsia" w:hAnsi="宋体"/>
          <w:b/>
          <w:sz w:val="24"/>
          <w:lang w:eastAsia="zh-CN"/>
        </w:rPr>
        <w:t>一、采购内容</w:t>
      </w:r>
    </w:p>
    <w:p>
      <w:pPr>
        <w:pStyle w:val="4"/>
        <w:spacing w:line="460" w:lineRule="exact"/>
        <w:ind w:firstLine="480"/>
        <w:rPr>
          <w:rFonts w:hint="default" w:hAnsi="宋体"/>
          <w:sz w:val="24"/>
          <w:lang w:val="en-US" w:eastAsia="zh-CN"/>
        </w:rPr>
      </w:pPr>
      <w:r>
        <w:rPr>
          <w:rFonts w:hint="eastAsia" w:hAnsi="宋体"/>
          <w:sz w:val="24"/>
          <w:lang w:eastAsia="zh-CN"/>
        </w:rPr>
        <w:t>本项目服务期为二年，合同一年一签，一年合同期满后经采购人考核合格可考虑续签一年。预算金额为</w:t>
      </w:r>
      <w:r>
        <w:rPr>
          <w:rFonts w:hint="eastAsia" w:hAnsi="宋体"/>
          <w:sz w:val="24"/>
          <w:lang w:val="en-US" w:eastAsia="zh-CN"/>
        </w:rPr>
        <w:t>60万元。</w:t>
      </w:r>
    </w:p>
    <w:p>
      <w:pPr>
        <w:pStyle w:val="4"/>
        <w:spacing w:line="460" w:lineRule="exact"/>
        <w:ind w:left="0" w:leftChars="0" w:firstLine="0" w:firstLineChars="0"/>
        <w:rPr>
          <w:rFonts w:hint="eastAsia" w:hAnsi="宋体" w:eastAsia="宋体"/>
          <w:b/>
          <w:sz w:val="24"/>
          <w:lang w:eastAsia="zh-CN"/>
        </w:rPr>
      </w:pPr>
      <w:r>
        <w:rPr>
          <w:rFonts w:hint="eastAsia" w:hAnsi="宋体"/>
          <w:b/>
          <w:sz w:val="24"/>
          <w:lang w:eastAsia="zh-CN"/>
        </w:rPr>
        <w:t>二、采购绿化清单</w:t>
      </w:r>
    </w:p>
    <w:p>
      <w:pPr>
        <w:pStyle w:val="4"/>
        <w:spacing w:line="460" w:lineRule="exact"/>
        <w:ind w:left="0" w:leftChars="0" w:firstLine="0" w:firstLineChars="0"/>
        <w:rPr>
          <w:rFonts w:hint="eastAsia" w:hAnsi="宋体"/>
          <w:b/>
          <w:sz w:val="24"/>
          <w:lang w:eastAsia="zh-CN"/>
        </w:rPr>
      </w:pPr>
      <w:r>
        <w:rPr>
          <w:rFonts w:hint="eastAsia" w:hAnsi="宋体"/>
          <w:b/>
          <w:sz w:val="24"/>
          <w:lang w:eastAsia="zh-CN"/>
        </w:rPr>
        <w:t>表（</w:t>
      </w:r>
      <w:r>
        <w:rPr>
          <w:rFonts w:hint="eastAsia" w:hAnsi="宋体"/>
          <w:b/>
          <w:sz w:val="24"/>
          <w:lang w:val="en-US" w:eastAsia="zh-CN"/>
        </w:rPr>
        <w:t>1</w:t>
      </w:r>
      <w:r>
        <w:rPr>
          <w:rFonts w:hint="eastAsia" w:hAnsi="宋体"/>
          <w:b/>
          <w:sz w:val="24"/>
          <w:lang w:eastAsia="zh-CN"/>
        </w:rPr>
        <w:t>）浙江医院三墩分院绿植明细单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042"/>
        <w:gridCol w:w="1756"/>
        <w:gridCol w:w="919"/>
        <w:gridCol w:w="89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教 学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601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603办公室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604办公室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615办公室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H30--H40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613会议室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608办公室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H30--H40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609办公室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H30--H40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611办公室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612办公室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小植物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碧玉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403图书室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小植物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小植物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一叶兰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315学术报告厅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巴西美人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走道转角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乒乓球室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碧玉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吊绿萝围边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H30--H40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变叶木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H30--H40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大厅前台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桌面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H30--H40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小植物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博 学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走道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夏威夷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模拟室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住 院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地下室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洗衣房办公室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</w:t>
            </w:r>
            <w:r>
              <w:commentReference w:id="0"/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住院部  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大金山棕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H160以上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袖珍椰子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琴叶榕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H160以上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金山棕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H160以上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大橡皮树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H120--H150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室外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H120以上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手术等待区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0122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夏威夷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1-2楼梯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鸭脚木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H120--H150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夏威夷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天堂鸟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H120--H150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龟背竹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H120--H150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富贵竹笼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西边主任办公室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--H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体检中心走道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体检中心厕所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体检中心服务台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心叶藤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餐厅门口走道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餐厅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夏威夷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鸭脚木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H120--H150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心叶藤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夏威夷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西边主任办公室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--H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心叶藤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散尾葵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副主任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散尾葵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东边护士长办公室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东边护士长办公室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散尾葵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散尾葵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西边护士长办公室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护士长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散尾葵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1.5米心叶藤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东区护士长办公室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西区护士长办公室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1.5米心叶藤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散尾葵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螺纹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西区护士长办公室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1.5米心叶藤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H150--H180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袖珍椰子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门 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户外休闲区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茶花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蒲葵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吊兰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铁树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H120--H150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一叶兰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萼距花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吊兰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2003医生办公室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H40--H80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主任办公室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H40--H80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H30--H40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1诊区2124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主任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发财树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白掌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病理科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网络诊间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大会议室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门诊区住院部通道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信息中心</w:t>
            </w:r>
            <w:r>
              <w:commentReference w:id="2"/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厕所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碧玉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急诊、医技、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高压氧舱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急诊室外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H120以上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南天竹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H40--H80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一叶兰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急诊室室内</w:t>
            </w: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多杆绿宝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H180--H200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放射科东区</w:t>
            </w: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茶花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--H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放射科西区</w:t>
            </w:r>
            <w:r>
              <w:commentReference w:id="3"/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夏威夷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H40--H80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87" w:rightChars="-89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高压氧舱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87" w:rightChars="-89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87" w:rightChars="-89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4号楼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87" w:rightChars="-89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餐厅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1.5米绿萝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H40--H80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吊绿萝</w:t>
            </w:r>
            <w:r>
              <w:commentReference w:id="4"/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行政楼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幸福树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H180以上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H20--H30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鸭脚木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H150以上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吧台前面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H40--H80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电梯口大厅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3楼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龙血树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6楼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电梯口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螺纹铁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H60--H80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医院户外花箱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花箱种植时令花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70*60*40cm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5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合计：</w:t>
            </w:r>
          </w:p>
        </w:tc>
        <w:tc>
          <w:tcPr>
            <w:tcW w:w="194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数量汇总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教学楼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博学楼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住院部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门诊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急诊、医技、高压氧舱等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餐厅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行政楼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预留花盆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户外花箱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花盆总计：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1242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盆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花箱总计：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bookmarkEnd w:id="0"/>
    </w:tbl>
    <w:p>
      <w:pPr>
        <w:pStyle w:val="4"/>
        <w:spacing w:line="460" w:lineRule="exact"/>
        <w:ind w:left="0" w:leftChars="0" w:firstLine="0" w:firstLineChars="0"/>
        <w:rPr>
          <w:rFonts w:hint="eastAsia" w:hAnsi="宋体"/>
          <w:b/>
          <w:sz w:val="24"/>
          <w:lang w:eastAsia="zh-CN"/>
        </w:rPr>
      </w:pPr>
    </w:p>
    <w:p>
      <w:pPr>
        <w:pStyle w:val="4"/>
        <w:spacing w:line="460" w:lineRule="exact"/>
        <w:ind w:left="0" w:leftChars="0" w:firstLine="0" w:firstLineChars="0"/>
        <w:rPr>
          <w:rFonts w:hint="eastAsia" w:hAnsi="宋体"/>
          <w:b/>
          <w:sz w:val="24"/>
          <w:lang w:eastAsia="zh-CN"/>
        </w:rPr>
      </w:pPr>
      <w:r>
        <w:rPr>
          <w:rFonts w:hint="eastAsia" w:hAnsi="宋体"/>
          <w:b/>
          <w:sz w:val="24"/>
          <w:lang w:eastAsia="zh-CN"/>
        </w:rPr>
        <w:t>表（</w:t>
      </w:r>
      <w:r>
        <w:rPr>
          <w:rFonts w:hint="eastAsia" w:hAnsi="宋体"/>
          <w:b/>
          <w:sz w:val="24"/>
          <w:lang w:val="en-US" w:eastAsia="zh-CN"/>
        </w:rPr>
        <w:t>2</w:t>
      </w:r>
      <w:r>
        <w:rPr>
          <w:rFonts w:hint="eastAsia" w:hAnsi="宋体"/>
          <w:b/>
          <w:sz w:val="24"/>
          <w:lang w:eastAsia="zh-CN"/>
        </w:rPr>
        <w:t>）浙江医院灵隐院区绿植明细单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3056"/>
        <w:gridCol w:w="1715"/>
        <w:gridCol w:w="627"/>
        <w:gridCol w:w="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摆放位置</w:t>
            </w:r>
          </w:p>
        </w:tc>
        <w:tc>
          <w:tcPr>
            <w:tcW w:w="179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0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大门口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大门口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杜鹃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常春藤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鲁冰花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时令花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金雀花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时令花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海棠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时令花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黄金香柳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12号楼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12号楼露天通道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变叶木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1楼大厅沙发两侧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茶几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三合一组合粉掌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高档时花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吧台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六合一组合蝴蝶兰加精品植物配置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高档时花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大厅内门两侧　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1楼117办公室门口柜子上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101办公室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虎皮兰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102办公室　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虎皮兰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小白掌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103、105办公室茶几上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多肉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精品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虎皮兰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111办公室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长寿花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精品时花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2楼电梯厅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茶几上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三合一组合红掌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高档时花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通道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2楼通道字画处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螺纹铁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通道沙发后中式窗隔断处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万年青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大万年青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211室和210室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迷你罗汉松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3楼电梯厅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直板也门铁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茶几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组合多肉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精品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3楼通道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螺纹铁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大螺纹铁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组合多肉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精品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307、309、308室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多肉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精品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319会诊室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大万年青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长寿花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精品时花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319外通道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鸭脚木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负一楼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负一楼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龙血树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红星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三合一红掌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虎皮兰组合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凤尾竹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也门铁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6号楼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鱼尾葵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天堂鸟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特大型（时花）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虎皮兰组合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平安树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铜钱草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1楼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幸福树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2楼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三合一红掌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时花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3楼</w:t>
            </w: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鸭脚木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虎皮兰组合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大虎皮兰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龙血树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大型吊绿萝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六月雪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2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477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hAnsi="宋体"/>
          <w:b/>
          <w:sz w:val="24"/>
          <w:szCs w:val="24"/>
          <w:lang w:eastAsia="zh-CN"/>
        </w:rPr>
      </w:pPr>
      <w:r>
        <w:rPr>
          <w:rFonts w:hint="eastAsia" w:hAnsi="宋体"/>
          <w:b/>
          <w:sz w:val="24"/>
          <w:szCs w:val="24"/>
          <w:lang w:eastAsia="zh-CN"/>
        </w:rPr>
        <w:t>注：以上数量为预估数量，最终结算以实际发生量为准。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hAnsi="宋体"/>
          <w:b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0"/>
        <w:textAlignment w:val="auto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三、盆景管理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1、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严格按照</w:t>
      </w:r>
      <w:r>
        <w:rPr>
          <w:rFonts w:hint="eastAsia" w:hAnsi="宋体"/>
          <w:sz w:val="24"/>
          <w:lang w:eastAsia="zh-CN"/>
        </w:rPr>
        <w:t>响应</w:t>
      </w:r>
      <w:r>
        <w:rPr>
          <w:rFonts w:hint="eastAsia" w:hAnsi="宋体"/>
          <w:sz w:val="24"/>
        </w:rPr>
        <w:t>时提供的绿化布置方案落实盆景的供应、摆放工作，负责盆景施肥、浇水等日常工作，确保盆景鲜活嫩绿；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2、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进出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区域进行盆景管理时，必须遵守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的有关规章制度，如有违约，按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有关规定处理；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3、由于非采购人原因造成盆景破坏的，由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自行负责。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4、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应自备阳光房及连体大棚（夏季遮荫大棚、冬季塑料大棚）、锅炉等加温设备，确保夏季、冬季盆花的质量和储备能力。</w:t>
      </w:r>
    </w:p>
    <w:p>
      <w:pPr>
        <w:pStyle w:val="4"/>
        <w:spacing w:line="460" w:lineRule="exact"/>
        <w:ind w:firstLine="482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eastAsia="zh-CN"/>
        </w:rPr>
        <w:t>四</w:t>
      </w:r>
      <w:r>
        <w:rPr>
          <w:rFonts w:hint="eastAsia" w:hAnsi="宋体"/>
          <w:b/>
          <w:sz w:val="24"/>
        </w:rPr>
        <w:t>、盆景交货期、验收及服务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1、交货期：每批次接到采购人通知后2日内完成配送及放置完毕。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2、盆景验收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1）盆景摆放完成后，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应派人参与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的验收工作</w:t>
      </w:r>
      <w:r>
        <w:rPr>
          <w:rFonts w:hint="eastAsia" w:hAnsi="宋体"/>
          <w:sz w:val="24"/>
          <w:lang w:eastAsia="zh-CN"/>
        </w:rPr>
        <w:t>，并提交供货单</w:t>
      </w:r>
      <w:r>
        <w:rPr>
          <w:rFonts w:hint="eastAsia" w:hAnsi="宋体"/>
          <w:sz w:val="24"/>
        </w:rPr>
        <w:t>。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2）经验收，有不合格产品，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应无条件进行更换，采取相应的补救措施，直至复验合格。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3、养护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1）更换花草时，保持路面清洁，浇花时留下的水迹和污垢及时清除，养护工作做到及时、负责，确保盆景清洁、嫩绿，长势旺盛；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2）保持花盆和托底的整洁。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3）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养护工应配备联系电话，遇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有重大活动或临时开会，需调整摆放或增加花木时，应随叫随到，配合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随时摆放；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4）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应适期适量进行叶面的净化，经常保持花木叶面的鲜亮；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4、其他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1）盆景品种及摆放位置按清单要求实施；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2）时令花草随季节经常更换，全年八到十次。保持开花旺盛、丰富、时尚。春节、五一节、国庆节前必须摆放鲜艳的时令花；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3）室内花木每3个月50%品种变化一次，小盆景应多更换，保持一年六到八次；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4）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在维持盆景数量不变的情况下，可以变换更高档次和观赏性的盆景。</w:t>
      </w:r>
    </w:p>
    <w:p>
      <w:pPr>
        <w:pStyle w:val="4"/>
        <w:spacing w:line="460" w:lineRule="exact"/>
        <w:ind w:firstLine="482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eastAsia="zh-CN"/>
        </w:rPr>
        <w:t>五</w:t>
      </w:r>
      <w:r>
        <w:rPr>
          <w:rFonts w:hint="eastAsia" w:hAnsi="宋体"/>
          <w:b/>
          <w:sz w:val="24"/>
        </w:rPr>
        <w:t>、质量保证</w:t>
      </w:r>
    </w:p>
    <w:p>
      <w:pPr>
        <w:pStyle w:val="4"/>
        <w:spacing w:line="460" w:lineRule="exact"/>
        <w:ind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1、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必须严格按照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提供的清单及摆放位置提供相应的租赁服务，其质量标准应满足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的质量目标的要求。</w:t>
      </w:r>
    </w:p>
    <w:p>
      <w:pPr>
        <w:pStyle w:val="4"/>
        <w:spacing w:line="460" w:lineRule="exact"/>
        <w:ind w:firstLine="48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2、</w:t>
      </w:r>
      <w:r>
        <w:rPr>
          <w:rFonts w:hint="eastAsia" w:hAnsi="宋体"/>
          <w:sz w:val="24"/>
          <w:lang w:eastAsia="zh-CN"/>
        </w:rPr>
        <w:t>供应商</w:t>
      </w:r>
      <w:r>
        <w:rPr>
          <w:rFonts w:hint="eastAsia" w:hAnsi="宋体"/>
          <w:sz w:val="24"/>
        </w:rPr>
        <w:t>保证所提供的盆景在正常维护保养的情况下，具有使</w:t>
      </w:r>
      <w:r>
        <w:rPr>
          <w:rFonts w:hint="eastAsia" w:hAnsi="宋体"/>
          <w:sz w:val="24"/>
          <w:lang w:eastAsia="zh-CN"/>
        </w:rPr>
        <w:t>采购人</w:t>
      </w:r>
      <w:r>
        <w:rPr>
          <w:rFonts w:hint="eastAsia" w:hAnsi="宋体"/>
          <w:sz w:val="24"/>
        </w:rPr>
        <w:t>满意的使用寿命，如果出现枯死等情况及时更换。</w:t>
      </w:r>
    </w:p>
    <w:p>
      <w:pPr>
        <w:pStyle w:val="4"/>
        <w:spacing w:line="460" w:lineRule="exact"/>
        <w:ind w:firstLine="480"/>
        <w:rPr>
          <w:rFonts w:hint="eastAsia" w:hAnsi="宋体"/>
          <w:b/>
          <w:sz w:val="24"/>
          <w:lang w:eastAsia="zh-CN"/>
        </w:rPr>
      </w:pPr>
      <w:r>
        <w:rPr>
          <w:rFonts w:hint="eastAsia" w:hAnsi="宋体"/>
          <w:b/>
          <w:sz w:val="24"/>
          <w:lang w:eastAsia="zh-CN"/>
        </w:rPr>
        <w:t>六、付款方式</w:t>
      </w:r>
    </w:p>
    <w:p>
      <w:pPr>
        <w:pStyle w:val="4"/>
        <w:spacing w:line="460" w:lineRule="exact"/>
        <w:ind w:firstLine="480"/>
        <w:rPr>
          <w:rFonts w:hint="default" w:hAnsi="宋体"/>
          <w:b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合同付款实行半年度一结算的方式进行统一结算。中标供应商凭借开具的正规发票提交至采购人处，采购人在收到发票后5个工作日内支付相应货款。</w:t>
      </w:r>
    </w:p>
    <w:p>
      <w:pPr>
        <w:pStyle w:val="4"/>
        <w:spacing w:line="460" w:lineRule="exact"/>
        <w:ind w:firstLine="480"/>
        <w:rPr>
          <w:rFonts w:hint="eastAsia" w:hAnsi="宋体"/>
          <w:sz w:val="24"/>
        </w:rPr>
      </w:pPr>
    </w:p>
    <w:sectPr>
      <w:footerReference r:id="rId5" w:type="default"/>
      <w:pgSz w:w="11906" w:h="16838"/>
      <w:pgMar w:top="567" w:right="1800" w:bottom="1440" w:left="1800" w:header="851" w:footer="992" w:gutter="0"/>
      <w:cols w:space="0" w:num="1"/>
      <w:docGrid w:type="lines" w:linePitch="313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向井" w:date="2022-05-10T10:02:41Z" w:initials="">
    <w:p w14:paraId="1D163AEE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取消康复中心共</w:t>
      </w:r>
      <w:r>
        <w:rPr>
          <w:rFonts w:hint="eastAsia"/>
          <w:lang w:val="en-US" w:eastAsia="zh-CN"/>
        </w:rPr>
        <w:t>23盆</w:t>
      </w:r>
    </w:p>
  </w:comment>
  <w:comment w:id="1" w:author="向井" w:date="2022-05-10T09:58:38Z" w:initials="">
    <w:p w14:paraId="64F34652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住院准备中心花箱内补种260盆不计入</w:t>
      </w:r>
    </w:p>
  </w:comment>
  <w:comment w:id="2" w:author="向井" w:date="2022-05-10T10:01:02Z" w:initials="">
    <w:p w14:paraId="4A315DC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取消信息中心窗台摆放</w:t>
      </w:r>
      <w:r>
        <w:rPr>
          <w:rFonts w:hint="eastAsia"/>
          <w:lang w:val="en-US" w:eastAsia="zh-CN"/>
        </w:rPr>
        <w:t>10盆</w:t>
      </w:r>
    </w:p>
  </w:comment>
  <w:comment w:id="3" w:author="向井" w:date="2022-05-10T10:03:44Z" w:initials="">
    <w:p w14:paraId="224F417B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取消服务台台面</w:t>
      </w:r>
      <w:r>
        <w:rPr>
          <w:rFonts w:hint="eastAsia"/>
          <w:lang w:val="en-US" w:eastAsia="zh-CN"/>
        </w:rPr>
        <w:t>4盆</w:t>
      </w:r>
    </w:p>
  </w:comment>
  <w:comment w:id="4" w:author="向井" w:date="2022-05-10T10:01:34Z" w:initials="">
    <w:p w14:paraId="7642766A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取消</w:t>
      </w:r>
      <w:r>
        <w:rPr>
          <w:rFonts w:hint="eastAsia"/>
          <w:lang w:val="en-US" w:eastAsia="zh-CN"/>
        </w:rPr>
        <w:t>2楼架子最底层31盆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163AEE" w15:done="0"/>
  <w15:commentEx w15:paraId="64F34652" w15:done="0"/>
  <w15:commentEx w15:paraId="4A315DC3" w15:done="0"/>
  <w15:commentEx w15:paraId="224F417B" w15:done="0"/>
  <w15:commentEx w15:paraId="764276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960389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8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向井">
    <w15:presenceInfo w15:providerId="WPS Office" w15:userId="1216860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zAxOGVlNTljYTQyZmZhNmRlMGRlOWI0MWU1MmIifQ=="/>
  </w:docVars>
  <w:rsids>
    <w:rsidRoot w:val="0818439D"/>
    <w:rsid w:val="00006C4F"/>
    <w:rsid w:val="000B5ECA"/>
    <w:rsid w:val="002978F1"/>
    <w:rsid w:val="002B45E9"/>
    <w:rsid w:val="002C7276"/>
    <w:rsid w:val="003E0921"/>
    <w:rsid w:val="00475048"/>
    <w:rsid w:val="00494B64"/>
    <w:rsid w:val="004A3394"/>
    <w:rsid w:val="00565526"/>
    <w:rsid w:val="006359AF"/>
    <w:rsid w:val="00752FCD"/>
    <w:rsid w:val="007F3210"/>
    <w:rsid w:val="00811690"/>
    <w:rsid w:val="009258D0"/>
    <w:rsid w:val="00986A02"/>
    <w:rsid w:val="009C25C5"/>
    <w:rsid w:val="009F6017"/>
    <w:rsid w:val="00A27FD5"/>
    <w:rsid w:val="00AC00FE"/>
    <w:rsid w:val="00AE3BDC"/>
    <w:rsid w:val="00B35866"/>
    <w:rsid w:val="00C12D48"/>
    <w:rsid w:val="00C32B0B"/>
    <w:rsid w:val="00CD6E09"/>
    <w:rsid w:val="00D139E6"/>
    <w:rsid w:val="00D44C6C"/>
    <w:rsid w:val="00DA579E"/>
    <w:rsid w:val="00E445B9"/>
    <w:rsid w:val="00E66EED"/>
    <w:rsid w:val="02226D24"/>
    <w:rsid w:val="0818439D"/>
    <w:rsid w:val="36B6546F"/>
    <w:rsid w:val="428C0B42"/>
    <w:rsid w:val="45222B83"/>
    <w:rsid w:val="459573F5"/>
    <w:rsid w:val="4F230625"/>
    <w:rsid w:val="5E3C7B2C"/>
    <w:rsid w:val="604A6BE8"/>
    <w:rsid w:val="611F184F"/>
    <w:rsid w:val="62C1502D"/>
    <w:rsid w:val="649F3420"/>
    <w:rsid w:val="66F47D67"/>
    <w:rsid w:val="69F80949"/>
    <w:rsid w:val="6A773FC6"/>
    <w:rsid w:val="6CBE064F"/>
    <w:rsid w:val="70212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line="360" w:lineRule="auto"/>
      <w:ind w:firstLine="0" w:firstLineChars="0"/>
    </w:pPr>
    <w:rPr>
      <w:sz w:val="24"/>
    </w:r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Normal Indent"/>
    <w:basedOn w:val="1"/>
    <w:qFormat/>
    <w:uiPriority w:val="99"/>
    <w:pPr>
      <w:widowControl/>
      <w:adjustRightInd w:val="0"/>
      <w:snapToGrid w:val="0"/>
      <w:spacing w:line="480" w:lineRule="exact"/>
      <w:ind w:firstLine="567"/>
    </w:pPr>
    <w:rPr>
      <w:rFonts w:ascii="宋体" w:hAnsi="Courier New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99"/>
    <w:rPr>
      <w:rFonts w:ascii="宋体" w:hAnsi="Courier New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customStyle="1" w:styleId="14">
    <w:name w:val="页眉 Char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7E98-ADDE-4E8D-B05F-B6675135B2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4087</Words>
  <Characters>5836</Characters>
  <Lines>130</Lines>
  <Paragraphs>36</Paragraphs>
  <TotalTime>102</TotalTime>
  <ScaleCrop>false</ScaleCrop>
  <LinksUpToDate>false</LinksUpToDate>
  <CharactersWithSpaces>5847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2020-09-01T00:54:00Z</dcterms:created>
  <dc:creator>「友诚园艺」客服</dc:creator>
  <cp:lastModifiedBy>向井</cp:lastModifiedBy>
  <dcterms:modified xsi:type="dcterms:W3CDTF">2022-05-12T02:30:56Z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6F5224BBE7D444DCB6BA1816E1F4AEA0</vt:lpwstr>
  </property>
</Properties>
</file>