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color w:val="000000"/>
          <w:sz w:val="28"/>
          <w:szCs w:val="28"/>
        </w:rPr>
      </w:pPr>
      <w:r>
        <w:rPr>
          <w:rFonts w:hint="eastAsia" w:ascii="宋体" w:hAnsi="宋体"/>
          <w:b/>
          <w:color w:val="000000"/>
          <w:sz w:val="28"/>
          <w:szCs w:val="28"/>
        </w:rPr>
        <w:t>党组织生活内容提示</w:t>
      </w: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sz w:val="24"/>
                <w:szCs w:val="24"/>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Theme="minorEastAsia"/>
                <w:b/>
                <w:sz w:val="24"/>
                <w:szCs w:val="24"/>
                <w:lang w:val="en-US" w:eastAsia="zh-CN"/>
              </w:rPr>
            </w:pPr>
            <w:r>
              <w:rPr>
                <w:rFonts w:hint="eastAsia" w:ascii="宋体" w:hAnsi="宋体"/>
                <w:b/>
                <w:sz w:val="24"/>
                <w:szCs w:val="24"/>
                <w:lang w:val="en-US" w:eastAsia="zh-CN"/>
              </w:rPr>
              <w:t>1月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szCs w:val="24"/>
              </w:rPr>
            </w:pPr>
          </w:p>
        </w:tc>
        <w:tc>
          <w:tcPr>
            <w:tcW w:w="357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ascii="Calibri" w:hAnsi="Calibri" w:eastAsia="宋体" w:cs="宋体"/>
                <w:b/>
                <w:bCs w:val="0"/>
                <w:kern w:val="2"/>
                <w:sz w:val="24"/>
                <w:szCs w:val="24"/>
                <w:lang w:val="en-US" w:eastAsia="zh-CN" w:bidi="ar"/>
              </w:rPr>
              <w:t>《浙江日报》</w:t>
            </w:r>
            <w:r>
              <w:rPr>
                <w:rFonts w:hint="default" w:ascii="Calibri" w:hAnsi="Calibri" w:eastAsia="宋体" w:cs="Times New Roman"/>
                <w:b/>
                <w:bCs w:val="0"/>
                <w:kern w:val="2"/>
                <w:sz w:val="24"/>
                <w:szCs w:val="24"/>
                <w:lang w:val="en-US" w:eastAsia="zh-CN" w:bidi="ar"/>
              </w:rPr>
              <w:t>201</w:t>
            </w:r>
            <w:r>
              <w:rPr>
                <w:rFonts w:hint="eastAsia" w:ascii="Calibri" w:hAnsi="Calibri" w:eastAsia="宋体" w:cs="Times New Roman"/>
                <w:b/>
                <w:bCs w:val="0"/>
                <w:kern w:val="2"/>
                <w:sz w:val="24"/>
                <w:szCs w:val="24"/>
                <w:lang w:val="en-US" w:eastAsia="zh-CN" w:bidi="ar"/>
              </w:rPr>
              <w:t>9</w:t>
            </w:r>
            <w:r>
              <w:rPr>
                <w:rFonts w:hint="eastAsia" w:ascii="Calibri" w:hAnsi="Calibri" w:eastAsia="宋体" w:cs="宋体"/>
                <w:b/>
                <w:bCs w:val="0"/>
                <w:kern w:val="2"/>
                <w:sz w:val="24"/>
                <w:szCs w:val="24"/>
                <w:lang w:val="en-US" w:eastAsia="zh-CN" w:bidi="ar"/>
              </w:rPr>
              <w:t>年1月3日第2版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《为实现民族伟大复兴 推进祖国和平统一而共同奋斗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——在</w:t>
            </w:r>
            <w:r>
              <w:rPr>
                <w:rFonts w:hint="eastAsia"/>
                <w:b w:val="0"/>
                <w:bCs/>
                <w:sz w:val="24"/>
                <w:szCs w:val="24"/>
                <w:lang w:val="en-US" w:eastAsia="zh-CN"/>
              </w:rPr>
              <w:t>&lt;</w:t>
            </w:r>
            <w:r>
              <w:rPr>
                <w:rFonts w:hint="eastAsia"/>
                <w:b w:val="0"/>
                <w:bCs/>
                <w:sz w:val="24"/>
                <w:szCs w:val="24"/>
              </w:rPr>
              <w:t>告台湾同胞书</w:t>
            </w:r>
            <w:r>
              <w:rPr>
                <w:rFonts w:hint="eastAsia"/>
                <w:b w:val="0"/>
                <w:bCs/>
                <w:sz w:val="24"/>
                <w:szCs w:val="24"/>
                <w:lang w:val="en-US" w:eastAsia="zh-CN"/>
              </w:rPr>
              <w:t>&gt;</w:t>
            </w:r>
            <w:r>
              <w:rPr>
                <w:rFonts w:hint="eastAsia"/>
                <w:b w:val="0"/>
                <w:bCs/>
                <w:sz w:val="24"/>
                <w:szCs w:val="24"/>
              </w:rPr>
              <w:t>发表40周年纪念会上的讲话》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sz w:val="24"/>
                <w:szCs w:val="2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为纪念全国人民代表大会常务委员会《告台湾同胞书》发表40周年。新年伊始，习近平总书记发表重要讲话。这是指引新时代对台工作的纲领性讲话，是做好新时代对台工作的根本遵循和行动指南，对推动两岸关系和平发展、推进祖国和平统一进程具有重大指导意义，必将产生深远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学习，我们要深刻领会到：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ind w:firstLine="6960" w:firstLineChars="2900"/>
        <w:textAlignment w:val="auto"/>
        <w:rPr>
          <w:rFonts w:hint="eastAsia" w:ascii="宋体" w:hAnsi="宋体"/>
          <w:color w:val="000000"/>
          <w:sz w:val="24"/>
          <w:szCs w:val="24"/>
        </w:rPr>
      </w:pPr>
      <w:bookmarkStart w:id="0" w:name="_GoBack"/>
      <w:bookmarkEnd w:id="0"/>
      <w:r>
        <w:rPr>
          <w:rFonts w:hint="eastAsia" w:ascii="宋体" w:hAnsi="宋体"/>
          <w:color w:val="000000"/>
          <w:sz w:val="24"/>
          <w:szCs w:val="24"/>
        </w:rPr>
        <w:t>党办</w:t>
      </w:r>
    </w:p>
    <w:p>
      <w:pPr>
        <w:keepNext w:val="0"/>
        <w:keepLines w:val="0"/>
        <w:pageBreakBefore w:val="0"/>
        <w:widowControl w:val="0"/>
        <w:kinsoku/>
        <w:wordWrap/>
        <w:overflowPunct/>
        <w:topLinePunct w:val="0"/>
        <w:autoSpaceDE/>
        <w:autoSpaceDN/>
        <w:bidi w:val="0"/>
        <w:adjustRightInd/>
        <w:snapToGrid/>
        <w:ind w:firstLine="6000" w:firstLineChars="2500"/>
        <w:textAlignment w:val="auto"/>
        <w:rPr>
          <w:rFonts w:hint="eastAsia" w:ascii="宋体" w:hAnsi="宋体"/>
          <w:color w:val="000000"/>
          <w:sz w:val="24"/>
          <w:szCs w:val="24"/>
        </w:rPr>
      </w:pPr>
    </w:p>
    <w:p>
      <w:pPr>
        <w:keepNext w:val="0"/>
        <w:keepLines w:val="0"/>
        <w:pageBreakBefore w:val="0"/>
        <w:widowControl w:val="0"/>
        <w:kinsoku/>
        <w:wordWrap/>
        <w:overflowPunct/>
        <w:topLinePunct w:val="0"/>
        <w:autoSpaceDE/>
        <w:autoSpaceDN/>
        <w:bidi w:val="0"/>
        <w:adjustRightInd/>
        <w:snapToGrid/>
        <w:ind w:firstLine="6000" w:firstLineChars="2500"/>
        <w:textAlignment w:val="auto"/>
        <w:rPr>
          <w:rFonts w:hint="eastAsia" w:ascii="宋体" w:hAnsi="宋体"/>
          <w:color w:val="000000"/>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olor w:val="000000"/>
          <w:sz w:val="24"/>
          <w:szCs w:val="24"/>
        </w:rPr>
      </w:pPr>
    </w:p>
    <w:p>
      <w:pPr>
        <w:keepNext w:val="0"/>
        <w:keepLines w:val="0"/>
        <w:pageBreakBefore w:val="0"/>
        <w:widowControl w:val="0"/>
        <w:kinsoku/>
        <w:wordWrap/>
        <w:overflowPunct/>
        <w:topLinePunct w:val="0"/>
        <w:autoSpaceDE/>
        <w:autoSpaceDN/>
        <w:bidi w:val="0"/>
        <w:adjustRightInd/>
        <w:snapToGrid/>
        <w:ind w:firstLine="6000" w:firstLineChars="2500"/>
        <w:textAlignment w:val="auto"/>
        <w:rPr>
          <w:rFonts w:hint="eastAsia" w:ascii="宋体" w:hAnsi="宋体"/>
          <w:color w:val="000000"/>
          <w:sz w:val="24"/>
          <w:szCs w:val="24"/>
        </w:rPr>
      </w:pPr>
    </w:p>
    <w:p>
      <w:pPr>
        <w:keepNext w:val="0"/>
        <w:keepLines w:val="0"/>
        <w:pageBreakBefore w:val="0"/>
        <w:widowControl w:val="0"/>
        <w:kinsoku/>
        <w:wordWrap/>
        <w:overflowPunct/>
        <w:topLinePunct w:val="0"/>
        <w:autoSpaceDE/>
        <w:autoSpaceDN/>
        <w:bidi w:val="0"/>
        <w:adjustRightInd/>
        <w:snapToGrid/>
        <w:ind w:firstLine="6000" w:firstLineChars="2500"/>
        <w:textAlignment w:val="auto"/>
        <w:rPr>
          <w:rFonts w:hint="eastAsia" w:ascii="宋体" w:hAnsi="宋体"/>
          <w:color w:val="000000"/>
          <w:sz w:val="24"/>
          <w:szCs w:val="24"/>
        </w:rPr>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sz w:val="24"/>
                <w:szCs w:val="24"/>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Theme="minorEastAsia"/>
                <w:b/>
                <w:sz w:val="24"/>
                <w:szCs w:val="24"/>
                <w:lang w:val="en-US" w:eastAsia="zh-CN"/>
              </w:rPr>
            </w:pPr>
            <w:r>
              <w:rPr>
                <w:rFonts w:hint="eastAsia" w:ascii="宋体" w:hAnsi="宋体"/>
                <w:b/>
                <w:sz w:val="24"/>
                <w:szCs w:val="24"/>
                <w:lang w:val="en-US" w:eastAsia="zh-CN"/>
              </w:rPr>
              <w:t>2月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 w:val="24"/>
                <w:szCs w:val="24"/>
              </w:rPr>
            </w:pPr>
          </w:p>
        </w:tc>
        <w:tc>
          <w:tcPr>
            <w:tcW w:w="357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b/>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sz w:val="24"/>
                <w:szCs w:val="24"/>
              </w:rPr>
            </w:pPr>
            <w:r>
              <w:rPr>
                <w:rFonts w:hint="eastAsia" w:ascii="Calibri" w:hAnsi="Calibri" w:eastAsia="宋体" w:cs="宋体"/>
                <w:b/>
                <w:bCs w:val="0"/>
                <w:kern w:val="2"/>
                <w:sz w:val="24"/>
                <w:szCs w:val="24"/>
                <w:lang w:val="en-US" w:eastAsia="zh-CN" w:bidi="ar"/>
              </w:rPr>
              <w:t>《浙江日报》</w:t>
            </w:r>
            <w:r>
              <w:rPr>
                <w:rFonts w:hint="default" w:ascii="Calibri" w:hAnsi="Calibri" w:eastAsia="宋体" w:cs="Times New Roman"/>
                <w:b/>
                <w:bCs w:val="0"/>
                <w:kern w:val="2"/>
                <w:sz w:val="24"/>
                <w:szCs w:val="24"/>
                <w:lang w:val="en-US" w:eastAsia="zh-CN" w:bidi="ar"/>
              </w:rPr>
              <w:t>201</w:t>
            </w:r>
            <w:r>
              <w:rPr>
                <w:rFonts w:hint="eastAsia" w:ascii="Calibri" w:hAnsi="Calibri" w:eastAsia="宋体" w:cs="Times New Roman"/>
                <w:b/>
                <w:bCs w:val="0"/>
                <w:kern w:val="2"/>
                <w:sz w:val="24"/>
                <w:szCs w:val="24"/>
                <w:lang w:val="en-US" w:eastAsia="zh-CN" w:bidi="ar"/>
              </w:rPr>
              <w:t>9</w:t>
            </w:r>
            <w:r>
              <w:rPr>
                <w:rFonts w:hint="eastAsia" w:ascii="Calibri" w:hAnsi="Calibri" w:eastAsia="宋体" w:cs="宋体"/>
                <w:b/>
                <w:bCs w:val="0"/>
                <w:kern w:val="2"/>
                <w:sz w:val="24"/>
                <w:szCs w:val="24"/>
                <w:lang w:val="en-US" w:eastAsia="zh-CN" w:bidi="ar"/>
              </w:rPr>
              <w:t>年2月11日第1、3版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r>
              <w:rPr>
                <w:rFonts w:hint="eastAsia"/>
                <w:b w:val="0"/>
                <w:bCs/>
                <w:sz w:val="24"/>
                <w:szCs w:val="24"/>
              </w:rPr>
              <w:t>《“最多跑一次”改革没有局外人》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sz w:val="24"/>
                <w:szCs w:val="2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最多跑一次”改革是习近平总书记以人民为中心发展思想的生动实践，是推进治理体系和治理能力现代化的生动实践。经过浙江全省上下众志成城、合力攻坚，“最多跑一次”改革从理念化为实践、由承诺成为现实，变不可能为可能，赢得了各方点赞、中央肯定。5700多万浙江儿女既是改革的见证者、亲历者，也是改革的参与者、受益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通过学习，我们要深刻领会到：“最多跑一次”改革没有局外人。要进一步激发推进“最多跑一次”改革的主动性、积极性，更加有力地支持、更加踊跃地参与“最多跑一次”改革。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Theme="minor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sz w:val="24"/>
                <w:szCs w:val="24"/>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3月</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“中国政府网”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b w:val="0"/>
                <w:bCs/>
                <w:sz w:val="24"/>
                <w:szCs w:val="24"/>
              </w:rPr>
            </w:pPr>
            <w:r>
              <w:rPr>
                <w:rFonts w:hint="eastAsia"/>
                <w:b w:val="0"/>
                <w:bCs/>
                <w:sz w:val="24"/>
                <w:szCs w:val="24"/>
              </w:rPr>
              <w:t>《</w:t>
            </w:r>
            <w:r>
              <w:rPr>
                <w:rFonts w:hint="eastAsia"/>
                <w:b w:val="0"/>
                <w:bCs/>
                <w:sz w:val="24"/>
                <w:szCs w:val="24"/>
                <w:lang w:val="en-US" w:eastAsia="zh-CN"/>
              </w:rPr>
              <w:t>2019年政府工作报告全文</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奋斗创造历史，实干成就未来。</w:t>
            </w:r>
            <w:r>
              <w:rPr>
                <w:rFonts w:hint="eastAsia" w:ascii="宋体" w:hAnsi="宋体"/>
                <w:sz w:val="24"/>
                <w:szCs w:val="24"/>
                <w:lang w:val="en-US" w:eastAsia="zh-CN"/>
              </w:rPr>
              <w:t>通过学习领会李克强总理在第十三届全国人民代表大会第二次会议上的政府工作报告精神，</w:t>
            </w:r>
            <w:r>
              <w:rPr>
                <w:rFonts w:hint="eastAsia" w:ascii="宋体" w:hAnsi="宋体" w:eastAsiaTheme="minorEastAsia"/>
                <w:sz w:val="24"/>
                <w:szCs w:val="24"/>
                <w:lang w:val="en-US" w:eastAsia="zh-CN"/>
              </w:rPr>
              <w:t>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tc>
      </w:tr>
    </w:tbl>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sz w:val="24"/>
                <w:szCs w:val="24"/>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4月</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年3月26日第9版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r>
              <w:rPr>
                <w:rFonts w:hint="eastAsia"/>
                <w:b w:val="0"/>
                <w:bCs/>
                <w:sz w:val="24"/>
                <w:szCs w:val="24"/>
              </w:rPr>
              <w:t>《坚定高质量发展的信心和定力》</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今年全国两会李克强总理所作的政府工作报告提出，发展应该是科学发展和高质量发展。当前，国际国内环境复杂多变，不确定性因素增加，经济发展面临着较大的下行压力，但我国仍处于并将长期处于重要战略机遇期，经济长期向好态势不会改变。浙江经济外向度高，受外部环境变化的冲击影响大，但经过改革开放40多年的发展，积累了坚实的经济基础和应对风险挑战的丰富经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通过学习，我们要理解领悟</w:t>
            </w:r>
            <w:r>
              <w:rPr>
                <w:rFonts w:hint="eastAsia" w:ascii="宋体" w:hAnsi="宋体" w:eastAsiaTheme="minorEastAsia"/>
                <w:sz w:val="24"/>
                <w:szCs w:val="24"/>
                <w:lang w:val="en-US" w:eastAsia="zh-CN"/>
              </w:rPr>
              <w:t>只要我们深刻把握、全面用好发展的重要战略机遇期，坚持底线思维，坚定信心、保持定力，化挑战为机遇、变压力为动力，就一定能战胜各种艰难险阻，扎实推进经济稳步迈向高质量发展。</w:t>
            </w:r>
          </w:p>
        </w:tc>
      </w:tr>
    </w:tbl>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5月</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ascii="Calibri" w:hAnsi="Calibri" w:eastAsia="宋体" w:cs="宋体"/>
                <w:b w:val="0"/>
                <w:bCs/>
                <w:kern w:val="2"/>
                <w:sz w:val="24"/>
                <w:szCs w:val="24"/>
                <w:lang w:val="en-US" w:eastAsia="zh-CN" w:bidi="ar"/>
              </w:rPr>
            </w:pPr>
            <w:r>
              <w:rPr>
                <w:rFonts w:hint="eastAsia" w:ascii="Calibri" w:hAnsi="Calibri" w:eastAsia="宋体" w:cs="宋体"/>
                <w:b w:val="0"/>
                <w:bCs/>
                <w:kern w:val="2"/>
                <w:sz w:val="24"/>
                <w:szCs w:val="24"/>
                <w:lang w:val="en-US" w:eastAsia="zh-CN" w:bidi="ar"/>
              </w:rPr>
              <w:t>《浙江日报》</w:t>
            </w:r>
            <w:r>
              <w:rPr>
                <w:rFonts w:hint="default" w:ascii="Calibri" w:hAnsi="Calibri" w:eastAsia="宋体" w:cs="Times New Roman"/>
                <w:b w:val="0"/>
                <w:bCs/>
                <w:kern w:val="2"/>
                <w:sz w:val="24"/>
                <w:szCs w:val="24"/>
                <w:lang w:val="en-US" w:eastAsia="zh-CN" w:bidi="ar"/>
              </w:rPr>
              <w:t>201</w:t>
            </w:r>
            <w:r>
              <w:rPr>
                <w:rFonts w:hint="eastAsia" w:ascii="Calibri" w:hAnsi="Calibri" w:eastAsia="宋体" w:cs="Times New Roman"/>
                <w:b w:val="0"/>
                <w:bCs/>
                <w:kern w:val="2"/>
                <w:sz w:val="24"/>
                <w:szCs w:val="24"/>
                <w:lang w:val="en-US" w:eastAsia="zh-CN" w:bidi="ar"/>
              </w:rPr>
              <w:t>9</w:t>
            </w:r>
            <w:r>
              <w:rPr>
                <w:rFonts w:hint="eastAsia" w:ascii="Calibri" w:hAnsi="Calibri" w:eastAsia="宋体" w:cs="宋体"/>
                <w:b w:val="0"/>
                <w:bCs/>
                <w:kern w:val="2"/>
                <w:sz w:val="24"/>
                <w:szCs w:val="24"/>
                <w:lang w:val="en-US" w:eastAsia="zh-CN" w:bidi="ar"/>
              </w:rPr>
              <w:t>年5月6日第4版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eastAsiaTheme="minorEastAsia"/>
                <w:b w:val="0"/>
                <w:bCs/>
                <w:sz w:val="24"/>
                <w:szCs w:val="24"/>
                <w:lang w:val="en-US" w:eastAsia="zh-CN"/>
              </w:rPr>
            </w:pPr>
            <w:r>
              <w:rPr>
                <w:rFonts w:hint="eastAsia"/>
                <w:b w:val="0"/>
                <w:bCs/>
                <w:sz w:val="24"/>
                <w:szCs w:val="24"/>
                <w:lang w:eastAsia="zh-CN"/>
              </w:rPr>
              <w:t>《中共中央国务院关于建立健全城乡融合发展体制机制和政策体系的意见</w:t>
            </w:r>
            <w:r>
              <w:rPr>
                <w:rFonts w:hint="eastAsia"/>
                <w:b w:val="0"/>
                <w:bCs/>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建立健全城乡融合发展体制机制和政策体系，是党的十九大作出的重大决策部署。改革开放特别是党的十八大以来，我国在统筹城乡发展、推进新型城镇化方面取得了显著进展，但城乡要素流动不顺畅、公共资源配置不合理等问题依然突出，影响城乡融合发展的体制机制障碍尚未根本消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通过学习，要深刻理解</w:t>
            </w:r>
            <w:r>
              <w:rPr>
                <w:rFonts w:hint="eastAsia" w:ascii="宋体" w:hAnsi="宋体" w:eastAsiaTheme="minorEastAsia"/>
                <w:sz w:val="24"/>
                <w:szCs w:val="24"/>
                <w:lang w:val="en-US" w:eastAsia="zh-CN"/>
              </w:rPr>
              <w:t>《</w:t>
            </w:r>
            <w:r>
              <w:rPr>
                <w:rFonts w:hint="eastAsia" w:ascii="宋体" w:hAnsi="宋体"/>
                <w:sz w:val="24"/>
                <w:szCs w:val="24"/>
                <w:lang w:val="en-US" w:eastAsia="zh-CN"/>
              </w:rPr>
              <w:t>意见</w:t>
            </w:r>
            <w:r>
              <w:rPr>
                <w:rFonts w:hint="eastAsia" w:ascii="宋体" w:hAnsi="宋体" w:eastAsiaTheme="minorEastAsia"/>
                <w:sz w:val="24"/>
                <w:szCs w:val="24"/>
                <w:lang w:val="en-US" w:eastAsia="zh-CN"/>
              </w:rPr>
              <w:t>》的颁布实施，对于为重塑新型城乡关系，走城乡融合发展之路，促进乡村振兴和农业农村现代化，</w:t>
            </w:r>
            <w:r>
              <w:rPr>
                <w:rFonts w:hint="eastAsia" w:ascii="宋体" w:hAnsi="宋体"/>
                <w:sz w:val="24"/>
                <w:szCs w:val="24"/>
                <w:lang w:val="en-US" w:eastAsia="zh-CN"/>
              </w:rPr>
              <w:t>在</w:t>
            </w:r>
            <w:r>
              <w:rPr>
                <w:rFonts w:hint="eastAsia" w:ascii="宋体" w:hAnsi="宋体" w:eastAsiaTheme="minorEastAsia"/>
                <w:sz w:val="24"/>
                <w:szCs w:val="24"/>
                <w:lang w:val="en-US" w:eastAsia="zh-CN"/>
              </w:rPr>
              <w:t>健全乡村医疗卫生服务体系</w:t>
            </w:r>
            <w:r>
              <w:rPr>
                <w:rFonts w:hint="eastAsia" w:ascii="宋体" w:hAnsi="宋体"/>
                <w:sz w:val="24"/>
                <w:szCs w:val="24"/>
                <w:lang w:val="en-US" w:eastAsia="zh-CN"/>
              </w:rPr>
              <w:t>等方面，</w:t>
            </w:r>
            <w:r>
              <w:rPr>
                <w:rFonts w:hint="eastAsia" w:ascii="宋体" w:hAnsi="宋体" w:eastAsiaTheme="minorEastAsia"/>
                <w:sz w:val="24"/>
                <w:szCs w:val="24"/>
                <w:lang w:val="en-US" w:eastAsia="zh-CN"/>
              </w:rPr>
              <w:t>具有重要意义。</w:t>
            </w:r>
          </w:p>
        </w:tc>
      </w:tr>
    </w:tbl>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6月</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eastAsia="zh-CN"/>
              </w:rPr>
            </w:pPr>
            <w:r>
              <w:rPr>
                <w:rFonts w:hint="eastAsia"/>
                <w:b w:val="0"/>
                <w:bCs/>
                <w:sz w:val="24"/>
                <w:szCs w:val="24"/>
                <w:lang w:eastAsia="zh-CN"/>
              </w:rPr>
              <w:t>一张清单普法宣传活动（学习清单</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经院党委研究决定，定于 5 月底下旬至 6 月上旬开展“10+1”警示教育月活动</w:t>
            </w:r>
            <w:r>
              <w:rPr>
                <w:rFonts w:hint="eastAsia" w:ascii="宋体" w:hAnsi="宋体"/>
                <w:sz w:val="24"/>
                <w:szCs w:val="24"/>
                <w:lang w:val="en-US" w:eastAsia="zh-CN"/>
              </w:rPr>
              <w:t>，其中一项是</w:t>
            </w:r>
            <w:r>
              <w:rPr>
                <w:rFonts w:hint="eastAsia" w:ascii="宋体" w:hAnsi="宋体" w:eastAsiaTheme="minorEastAsia"/>
                <w:sz w:val="24"/>
                <w:szCs w:val="24"/>
                <w:lang w:val="en-US" w:eastAsia="zh-CN"/>
              </w:rPr>
              <w:t>开展一张清单普法宣传活动。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目的在于引导教育全院党员干部</w:t>
            </w:r>
            <w:r>
              <w:rPr>
                <w:rFonts w:hint="eastAsia" w:ascii="宋体" w:hAnsi="宋体" w:eastAsiaTheme="minorEastAsia"/>
                <w:sz w:val="24"/>
                <w:szCs w:val="24"/>
                <w:lang w:val="en-US" w:eastAsia="zh-CN"/>
              </w:rPr>
              <w:t>深入</w:t>
            </w:r>
            <w:r>
              <w:rPr>
                <w:rFonts w:hint="eastAsia" w:ascii="宋体" w:hAnsi="宋体"/>
                <w:sz w:val="24"/>
                <w:szCs w:val="24"/>
                <w:lang w:val="en-US" w:eastAsia="zh-CN"/>
              </w:rPr>
              <w:t>学习</w:t>
            </w:r>
            <w:r>
              <w:rPr>
                <w:rFonts w:hint="eastAsia" w:ascii="宋体" w:hAnsi="宋体" w:eastAsiaTheme="minorEastAsia"/>
                <w:sz w:val="24"/>
                <w:szCs w:val="24"/>
                <w:lang w:val="en-US" w:eastAsia="zh-CN"/>
              </w:rPr>
              <w:t>党中央全面依法治国重大决策部署，结合我省卫生健康重点工作和医院主要任务，依托党支部党小组学习、科室政治学习开展党内法规、行业法规和深化医改宣传月活动，大力宣传医疗卫生行业有关法律法规、我省深化医改和建设健康浙江取得的成效，提高医务人员对相关政策措施的认同感、参与感。</w:t>
            </w:r>
          </w:p>
        </w:tc>
      </w:tr>
    </w:tbl>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7月</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eastAsia="zh-CN"/>
              </w:rPr>
              <w:t>《浙江日报》</w:t>
            </w:r>
            <w:r>
              <w:rPr>
                <w:rFonts w:hint="eastAsia"/>
                <w:b w:val="0"/>
                <w:bCs/>
                <w:sz w:val="24"/>
                <w:szCs w:val="24"/>
                <w:lang w:val="en-US" w:eastAsia="zh-CN"/>
              </w:rPr>
              <w:t>2019年7月1日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val="en-US" w:eastAsia="zh-CN"/>
              </w:rPr>
              <w:t>第四版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eastAsia"/>
                <w:b w:val="0"/>
                <w:bCs/>
                <w:sz w:val="24"/>
                <w:szCs w:val="24"/>
                <w:lang w:val="en-US" w:eastAsia="zh-CN"/>
              </w:rPr>
            </w:pPr>
            <w:r>
              <w:rPr>
                <w:rFonts w:hint="eastAsia"/>
                <w:b w:val="0"/>
                <w:bCs/>
                <w:sz w:val="24"/>
                <w:szCs w:val="24"/>
                <w:lang w:val="en-US" w:eastAsia="zh-CN"/>
              </w:rPr>
              <w:t>《不忘初心使命 永立时代潮头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b w:val="0"/>
                <w:bCs/>
                <w:sz w:val="24"/>
                <w:szCs w:val="24"/>
                <w:lang w:val="en-US" w:eastAsia="zh-CN"/>
              </w:rPr>
            </w:pPr>
            <w:r>
              <w:rPr>
                <w:rFonts w:hint="eastAsia"/>
                <w:b w:val="0"/>
                <w:bCs/>
                <w:sz w:val="24"/>
                <w:szCs w:val="24"/>
                <w:lang w:val="en-US" w:eastAsia="zh-CN"/>
              </w:rPr>
              <w:t>——写在中国共产党成立98周年之际》</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eastAsiaTheme="minorEastAsia"/>
                <w:sz w:val="24"/>
                <w:szCs w:val="24"/>
                <w:lang w:val="en-US" w:eastAsia="zh-CN"/>
              </w:rPr>
              <w:t>建党98周年前夕、新中国成立70周年之际、决胜全面建成小康社会的关键阶段，习近平总书记在中央政治局第十五次集体学习时强调，全党必须始终不忘初心牢记使命，在新时代把党的自我革命推向深入。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作为一个党员人数超过9000万的政党，中国共产党初心不变、责任重大、使命光荣。过去属于历史，未来属于奋斗。我们要在以习近平同志为核心的党中央的坚强领导下，</w:t>
            </w:r>
            <w:r>
              <w:rPr>
                <w:rFonts w:hint="eastAsia"/>
                <w:b w:val="0"/>
                <w:bCs/>
                <w:sz w:val="24"/>
                <w:szCs w:val="24"/>
                <w:lang w:val="en-US" w:eastAsia="zh-CN"/>
              </w:rPr>
              <w:t>不忘初心、牢记使命，</w:t>
            </w:r>
            <w:r>
              <w:rPr>
                <w:rFonts w:hint="eastAsia" w:ascii="宋体" w:hAnsi="宋体" w:eastAsiaTheme="minorEastAsia"/>
                <w:sz w:val="24"/>
                <w:szCs w:val="24"/>
                <w:lang w:val="en-US" w:eastAsia="zh-CN"/>
              </w:rPr>
              <w:t>将初心变为恒心，把使命视作生命</w:t>
            </w:r>
            <w:r>
              <w:rPr>
                <w:rFonts w:hint="eastAsia" w:ascii="宋体" w:hAnsi="宋体"/>
                <w:sz w:val="24"/>
                <w:szCs w:val="24"/>
                <w:lang w:val="en-US" w:eastAsia="zh-CN"/>
              </w:rPr>
              <w:t>，共同见证</w:t>
            </w:r>
            <w:r>
              <w:rPr>
                <w:rFonts w:hint="eastAsia" w:ascii="宋体" w:hAnsi="宋体" w:eastAsiaTheme="minorEastAsia"/>
                <w:sz w:val="24"/>
                <w:szCs w:val="24"/>
                <w:lang w:val="en-US" w:eastAsia="zh-CN"/>
              </w:rPr>
              <w:t>中国共产党以更加强大的领导力、号召力、凝聚力和战斗力，永立潮头、接续奋斗，从胜利走向新的胜利。</w:t>
            </w:r>
          </w:p>
        </w:tc>
      </w:tr>
    </w:tbl>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tbl>
      <w:tblPr>
        <w:tblStyle w:val="8"/>
        <w:tblW w:w="998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70"/>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时 间</w:t>
            </w:r>
          </w:p>
        </w:tc>
        <w:tc>
          <w:tcPr>
            <w:tcW w:w="3570"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000000"/>
                <w:sz w:val="24"/>
                <w:szCs w:val="24"/>
              </w:rPr>
            </w:pPr>
            <w:r>
              <w:rPr>
                <w:rFonts w:hint="eastAsia" w:ascii="宋体" w:hAnsi="宋体"/>
                <w:b/>
                <w:bCs/>
                <w:color w:val="000000"/>
                <w:sz w:val="24"/>
                <w:szCs w:val="24"/>
              </w:rPr>
              <w:t>内</w:t>
            </w:r>
            <w:r>
              <w:rPr>
                <w:rFonts w:ascii="宋体" w:hAnsi="宋体"/>
                <w:b/>
                <w:bCs/>
                <w:color w:val="000000"/>
                <w:sz w:val="24"/>
                <w:szCs w:val="24"/>
              </w:rPr>
              <w:t xml:space="preserve">     </w:t>
            </w:r>
            <w:r>
              <w:rPr>
                <w:rFonts w:hint="eastAsia" w:ascii="宋体" w:hAnsi="宋体"/>
                <w:b/>
                <w:bCs/>
                <w:color w:val="000000"/>
                <w:sz w:val="24"/>
                <w:szCs w:val="24"/>
              </w:rPr>
              <w:t>容</w:t>
            </w:r>
          </w:p>
        </w:tc>
        <w:tc>
          <w:tcPr>
            <w:tcW w:w="5423" w:type="dxa"/>
            <w:tcBorders>
              <w:right w:val="nil"/>
            </w:tcBorders>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color w:val="000000"/>
                <w:sz w:val="24"/>
                <w:szCs w:val="24"/>
              </w:rPr>
            </w:pPr>
            <w:r>
              <w:rPr>
                <w:rFonts w:hint="eastAsia" w:ascii="宋体" w:hAnsi="宋体"/>
                <w:b/>
                <w:bCs/>
                <w:color w:val="000000"/>
                <w:sz w:val="24"/>
                <w:szCs w:val="24"/>
              </w:rPr>
              <w:t>目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988" w:type="dxa"/>
            <w:tcBorders>
              <w:left w:val="nil"/>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sz w:val="24"/>
                <w:szCs w:val="24"/>
                <w:lang w:val="en-US"/>
              </w:rPr>
            </w:pPr>
            <w:r>
              <w:rPr>
                <w:rFonts w:hint="eastAsia" w:ascii="宋体" w:hAnsi="宋体"/>
                <w:b/>
                <w:sz w:val="24"/>
                <w:szCs w:val="24"/>
              </w:rPr>
              <w:t>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8月</w:t>
            </w:r>
          </w:p>
        </w:tc>
        <w:tc>
          <w:tcPr>
            <w:tcW w:w="3570" w:type="dxa"/>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b/>
                <w:sz w:val="24"/>
                <w:szCs w:val="24"/>
              </w:rPr>
            </w:pPr>
            <w:r>
              <w:rPr>
                <w:rFonts w:hint="eastAsia"/>
                <w:b/>
                <w:sz w:val="24"/>
                <w:szCs w:val="24"/>
              </w:rPr>
              <w:t>学习内容（详见OA）：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b w:val="0"/>
                <w:bCs/>
                <w:sz w:val="24"/>
                <w:szCs w:val="24"/>
                <w:lang w:val="en-US" w:eastAsia="zh-CN"/>
              </w:rPr>
            </w:pPr>
            <w:r>
              <w:rPr>
                <w:rFonts w:hint="eastAsia" w:ascii="宋体" w:hAnsi="宋体"/>
                <w:sz w:val="24"/>
                <w:szCs w:val="24"/>
                <w:lang w:val="en-US" w:eastAsia="zh-CN"/>
              </w:rPr>
              <w:t>《拒收“红包”回扣行动5个学习文件制度》（详见附件）</w:t>
            </w:r>
          </w:p>
        </w:tc>
        <w:tc>
          <w:tcPr>
            <w:tcW w:w="5423" w:type="dxa"/>
            <w:tcBorders>
              <w:right w:val="nil"/>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通过进一步学习《拒收“红包”回扣行动5个学习文件制度》，全院党员干部职工要不忘初心、牢记使命，坚持依法依规行医，坚持严以用权、严于律己，通过自查自省不断校准纠偏，始终知敬畏、存戒惧、守底线，把党纪国法高悬头顶，时刻慎独慎行，自觉接受监督和约束，共同营造不敢腐、不能腐、不想腐的政治氛围，为推动医院两院区高质量发展提供思想和纪律保障，以良好的精神面貌献礼新中国成立 70 周年、医院建院 65 周年和三墩院区正式投入运营1周年。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2421B"/>
    <w:rsid w:val="0426365E"/>
    <w:rsid w:val="058E4FEF"/>
    <w:rsid w:val="0802045E"/>
    <w:rsid w:val="16B227E8"/>
    <w:rsid w:val="191B2147"/>
    <w:rsid w:val="19AA7970"/>
    <w:rsid w:val="1A74580B"/>
    <w:rsid w:val="1D7374F4"/>
    <w:rsid w:val="1E564111"/>
    <w:rsid w:val="20CF6C62"/>
    <w:rsid w:val="2A8F7CC0"/>
    <w:rsid w:val="37356FE7"/>
    <w:rsid w:val="38DB2960"/>
    <w:rsid w:val="44841E46"/>
    <w:rsid w:val="4DB069C6"/>
    <w:rsid w:val="4ED2421B"/>
    <w:rsid w:val="66C3499D"/>
    <w:rsid w:val="68AE10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00"/>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character" w:customStyle="1" w:styleId="19">
    <w:name w:val="tz_input"/>
    <w:basedOn w:val="9"/>
    <w:qFormat/>
    <w:uiPriority w:val="0"/>
    <w:rPr>
      <w:color w:val="A01211"/>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2018-04-04T02:53:00Z</dcterms:created>
  <dc:creator>饭饭1408432075</dc:creator>
  <cp:lastModifiedBy>阿蒙</cp:lastModifiedBy>
  <dcterms:modified xsi:type="dcterms:W3CDTF">2019-09-15T17:17:18Z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