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关于申报</w:t>
      </w:r>
      <w:r>
        <w:rPr>
          <w:rFonts w:hint="eastAsia" w:ascii="宋体" w:hAnsi="宋体" w:eastAsia="宋体" w:cs="宋体"/>
          <w:b/>
          <w:bCs/>
          <w:sz w:val="28"/>
          <w:szCs w:val="28"/>
          <w:lang w:val="en-US" w:eastAsia="zh-CN"/>
        </w:rPr>
        <w:t>2017年</w:t>
      </w:r>
      <w:r>
        <w:rPr>
          <w:rFonts w:hint="eastAsia" w:ascii="宋体" w:hAnsi="宋体" w:eastAsia="宋体" w:cs="宋体"/>
          <w:b/>
          <w:bCs/>
          <w:sz w:val="28"/>
          <w:szCs w:val="28"/>
        </w:rPr>
        <w:t>浙江省</w:t>
      </w:r>
      <w:r>
        <w:rPr>
          <w:rFonts w:hint="eastAsia" w:ascii="宋体" w:hAnsi="宋体" w:eastAsia="宋体" w:cs="宋体"/>
          <w:b/>
          <w:bCs/>
          <w:sz w:val="28"/>
          <w:szCs w:val="28"/>
          <w:lang w:eastAsia="zh-CN"/>
        </w:rPr>
        <w:t>科学技术进步</w:t>
      </w:r>
      <w:r>
        <w:rPr>
          <w:rFonts w:hint="eastAsia" w:ascii="宋体" w:hAnsi="宋体" w:eastAsia="宋体" w:cs="宋体"/>
          <w:b/>
          <w:bCs/>
          <w:sz w:val="28"/>
          <w:szCs w:val="28"/>
        </w:rPr>
        <w:t>奖“清热解毒通腑法治疗毒热内盛型脓毒症-多中心前瞻性随机对照研究”的公示</w:t>
      </w:r>
    </w:p>
    <w:p>
      <w:pPr>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我院</w:t>
      </w:r>
      <w:r>
        <w:rPr>
          <w:rFonts w:hint="eastAsia" w:ascii="宋体" w:hAnsi="宋体" w:eastAsia="宋体" w:cs="宋体"/>
          <w:sz w:val="24"/>
          <w:szCs w:val="24"/>
          <w:lang w:eastAsia="zh-CN"/>
        </w:rPr>
        <w:t>蔡国龙主任牵头负责的“</w:t>
      </w:r>
      <w:r>
        <w:rPr>
          <w:rFonts w:hint="eastAsia" w:ascii="宋体" w:hAnsi="宋体" w:eastAsia="宋体" w:cs="宋体"/>
          <w:sz w:val="24"/>
          <w:szCs w:val="24"/>
        </w:rPr>
        <w:t>清热解毒通腑法治疗毒热内盛型脓毒症-多中心前瞻性随机对照研究</w:t>
      </w:r>
      <w:r>
        <w:rPr>
          <w:rFonts w:hint="eastAsia" w:ascii="宋体" w:hAnsi="宋体" w:eastAsia="宋体" w:cs="宋体"/>
          <w:sz w:val="24"/>
          <w:szCs w:val="24"/>
          <w:lang w:eastAsia="zh-CN"/>
        </w:rPr>
        <w:t>”项目，</w:t>
      </w:r>
      <w:r>
        <w:rPr>
          <w:rFonts w:hint="eastAsia" w:ascii="宋体" w:hAnsi="宋体" w:eastAsia="宋体" w:cs="宋体"/>
          <w:sz w:val="24"/>
          <w:szCs w:val="24"/>
        </w:rPr>
        <w:t>今年拟申报201</w:t>
      </w:r>
      <w:r>
        <w:rPr>
          <w:rFonts w:hint="eastAsia" w:ascii="宋体" w:hAnsi="宋体" w:eastAsia="宋体" w:cs="宋体"/>
          <w:sz w:val="24"/>
          <w:szCs w:val="24"/>
          <w:lang w:val="en-US" w:eastAsia="zh-CN"/>
        </w:rPr>
        <w:t>7</w:t>
      </w:r>
      <w:r>
        <w:rPr>
          <w:rFonts w:hint="eastAsia" w:ascii="宋体" w:hAnsi="宋体" w:eastAsia="宋体" w:cs="宋体"/>
          <w:sz w:val="24"/>
          <w:szCs w:val="24"/>
        </w:rPr>
        <w:t>年浙江省</w:t>
      </w:r>
      <w:r>
        <w:rPr>
          <w:rFonts w:hint="eastAsia" w:ascii="宋体" w:hAnsi="宋体" w:eastAsia="宋体" w:cs="宋体"/>
          <w:sz w:val="24"/>
          <w:szCs w:val="24"/>
          <w:lang w:eastAsia="zh-CN"/>
        </w:rPr>
        <w:t>科学技术进步</w:t>
      </w:r>
      <w:r>
        <w:rPr>
          <w:rFonts w:hint="eastAsia" w:ascii="宋体" w:hAnsi="宋体" w:eastAsia="宋体" w:cs="宋体"/>
          <w:sz w:val="24"/>
          <w:szCs w:val="24"/>
        </w:rPr>
        <w:t>奖，现进行公示：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清热解毒通腑法治疗毒热内盛型脓毒症-多中心前瞻性随机对照研究；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项目组采用多中心、前瞻性、随机对照研究方法，根据中医辨证论治思想，入选符合毒热内盛证型脓毒症患者，运用西医综合治疗方法和西医综合治疗联合中医清热解毒通腑方两种不同治疗方法，以 28-days生存率为主要终点（end point），以脓毒症的并发症，ICU住院时间，APACHEⅡ评分，MODS评分为次要终点进行全方位的评价疗效。研究结果显示中西医结合治疗组较单纯西医治疗组更具优势，显著提高了毒热内盛证型脓毒血症患者28-days生存率（15.2%）(P&lt;0.05)； 降低了毒热内盛证型脓毒症患者ICU内住院死亡率(P&lt;0.05)； 降低了毒热内盛证型脓毒症患者APACHEⅡ评分、MODS评分(P&lt;0.05)；降低毒热内盛证型脓毒症患者炎症因子水平（CRP、TNF-a）(P&lt;0.05)；调节了毒热内盛证型脓毒症患者患者的细胞免疫功能。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三、第三方评价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项目验收组</w:t>
      </w:r>
      <w:r>
        <w:rPr>
          <w:rFonts w:hint="eastAsia" w:ascii="宋体" w:hAnsi="宋体" w:eastAsia="宋体" w:cs="宋体"/>
          <w:sz w:val="24"/>
          <w:szCs w:val="24"/>
        </w:rPr>
        <w:t>受浙江省中医药管理局委托，对浙江医院牵头主持的重点项目“清热解毒通腑法治疗毒热内盛型脓毒症的研究-----多中心、前瞻性、随机、对照研究”（编号：2009ZA011）进行验收，验收组专家认真审阅验收材料，经讨论形成以下验收意见</w:t>
      </w:r>
      <w:r>
        <w:rPr>
          <w:rFonts w:hint="eastAsia" w:ascii="宋体" w:hAnsi="宋体" w:eastAsia="宋体" w:cs="宋体"/>
          <w:sz w:val="24"/>
          <w:szCs w:val="24"/>
          <w:lang w:eastAsia="zh-CN"/>
        </w:rPr>
        <w:t>：</w:t>
      </w:r>
      <w:r>
        <w:rPr>
          <w:rFonts w:hint="eastAsia" w:ascii="宋体" w:hAnsi="宋体" w:eastAsia="宋体" w:cs="宋体"/>
          <w:sz w:val="24"/>
          <w:szCs w:val="24"/>
        </w:rPr>
        <w:t>1.项目组提供的资料齐全、规范，符合验收要求。2.该研究由浙江省5家综合性三甲医院重症医学科联合完成，采用前瞻性、随机对照研究方法，入选符合毒内盛证型脓毒症患者146例，有效病例133例，对照组（常规西医治疗）64例，中西医结合治疗组（在常规西医治疗基础上加用清热解毒通腑方）69例。研究结果显示中西医组28天生存率较对照组显著提高(P&lt;0.05)； APACHEⅡ评分下降较快(P&lt;0.05)；血清炎症因子水平TNF-a下降快(P&lt;0.05)，外周血CD+14单核细胞HLA-DR表达率上升增快(P&lt;0.05)，提示清热解毒通腑方剂具有调节免疫作用，为临床中西医结合诊疗脓毒症提供理论依据。3. 完成课题相关论文十余篇，课题负责人被列为“浙江省卫生高层次创新人才培养对象”</w:t>
      </w:r>
      <w:r>
        <w:rPr>
          <w:rFonts w:hint="eastAsia" w:ascii="宋体" w:hAnsi="宋体" w:eastAsia="宋体" w:cs="宋体"/>
          <w:sz w:val="24"/>
          <w:szCs w:val="24"/>
          <w:lang w:eastAsia="zh-CN"/>
        </w:rPr>
        <w:t>。</w:t>
      </w:r>
      <w:r>
        <w:rPr>
          <w:rFonts w:hint="eastAsia" w:ascii="宋体" w:hAnsi="宋体" w:eastAsia="宋体" w:cs="宋体"/>
          <w:sz w:val="24"/>
          <w:szCs w:val="24"/>
        </w:rPr>
        <w:t>4.课题经费配套到位，使用规范合理。5.已完成合同书规定的各项研究内容及主要技术指标。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四、直接经济效益、推广应用情况和社会效益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该项目</w:t>
      </w:r>
      <w:r>
        <w:rPr>
          <w:rFonts w:hint="eastAsia" w:ascii="宋体" w:hAnsi="宋体" w:eastAsia="宋体" w:cs="宋体"/>
          <w:sz w:val="24"/>
          <w:szCs w:val="24"/>
        </w:rPr>
        <w:t>目前已经在东南大学附属中大医院、哈尔滨医科大学附属第二医院、福建医科大学附属第一医院、浙江省人民医院、浙江省中西医结合医院、杭州市第一人民医院、宁波市第一医院、嘉兴市第一医院、金华市中心医院、丽水市人民医院等十余家医院推广应用。应用单位一致认为：清热解毒通腑法治疗毒热内盛证型脓毒症患者，能降低脓毒症患者肾脏替代治疗比例，缩短呼吸机辅助通气天数及ICU住院天数，降低了ICU住院医疗费用，且不增加胃肠道出血等风险，同时发现能调节炎症因子水平及危重症评分，以及调节免疫功能的作用。该研究有望在更多的医院进一步推广应用，为临床诊治脓毒症提供新的理论依据和思路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本研究成果发表论文22篇，其中SCI收录6篇，论著</w:t>
      </w:r>
      <w:r>
        <w:rPr>
          <w:rFonts w:hint="eastAsia" w:ascii="宋体" w:hAnsi="宋体" w:eastAsia="宋体" w:cs="宋体"/>
          <w:sz w:val="24"/>
          <w:szCs w:val="24"/>
          <w:lang w:val="en-US" w:eastAsia="zh-CN"/>
        </w:rPr>
        <w:t>6</w:t>
      </w:r>
      <w:r>
        <w:rPr>
          <w:rFonts w:hint="eastAsia" w:ascii="宋体" w:hAnsi="宋体" w:eastAsia="宋体" w:cs="宋体"/>
          <w:sz w:val="24"/>
          <w:szCs w:val="24"/>
        </w:rPr>
        <w:t>本；</w:t>
      </w:r>
      <w:r>
        <w:rPr>
          <w:rFonts w:hint="eastAsia" w:ascii="宋体" w:hAnsi="宋体" w:eastAsia="宋体" w:cs="宋体"/>
          <w:sz w:val="24"/>
          <w:szCs w:val="24"/>
          <w:lang w:eastAsia="zh-CN"/>
        </w:rPr>
        <w:t>实用新型专利</w:t>
      </w:r>
      <w:r>
        <w:rPr>
          <w:rFonts w:hint="eastAsia" w:ascii="宋体" w:hAnsi="宋体" w:eastAsia="宋体" w:cs="宋体"/>
          <w:sz w:val="24"/>
          <w:szCs w:val="24"/>
          <w:lang w:val="en-US" w:eastAsia="zh-CN"/>
        </w:rPr>
        <w:t>1项，</w:t>
      </w:r>
      <w:r>
        <w:rPr>
          <w:rFonts w:hint="eastAsia" w:ascii="宋体" w:hAnsi="宋体" w:eastAsia="宋体" w:cs="宋体"/>
          <w:sz w:val="24"/>
          <w:szCs w:val="24"/>
        </w:rPr>
        <w:t>授权计算机软件著作权1项。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主要</w:t>
      </w:r>
      <w:r>
        <w:rPr>
          <w:rFonts w:hint="eastAsia" w:ascii="宋体" w:hAnsi="宋体" w:eastAsia="宋体" w:cs="宋体"/>
          <w:b/>
          <w:bCs/>
          <w:sz w:val="24"/>
          <w:szCs w:val="24"/>
        </w:rPr>
        <w:t>完成人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shd w:val="clear" w:color="auto" w:fill="FFFFFF"/>
        </w:rPr>
        <w:t>蔡国龙、胡才宝、杨敏春、江荣林、张庚、楼黎明、王云超、许雅萍、严静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auto"/>
          <w:sz w:val="24"/>
          <w:szCs w:val="24"/>
          <w:lang w:eastAsia="zh-CN"/>
        </w:rPr>
        <w:t>排名第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蔡国龙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浙江医院科教部科长，主任医师，目前在浙江医院重症医学</w:t>
      </w:r>
      <w:r>
        <w:rPr>
          <w:rFonts w:hint="eastAsia" w:ascii="宋体" w:hAnsi="宋体" w:eastAsia="宋体" w:cs="宋体"/>
          <w:sz w:val="24"/>
          <w:szCs w:val="24"/>
          <w:lang w:val="en-US" w:eastAsia="zh-CN"/>
        </w:rPr>
        <w:t>科从事重症医学专业，项目完成单位：浙江医院。作为项目牵头人和总负责，对项目的整体把控，项目的顺利进展及项目完成验收具重要贡献。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排名第2：</w:t>
      </w:r>
      <w:r>
        <w:rPr>
          <w:rFonts w:hint="eastAsia" w:ascii="宋体" w:hAnsi="宋体" w:eastAsia="宋体" w:cs="宋体"/>
          <w:sz w:val="24"/>
          <w:szCs w:val="24"/>
        </w:rPr>
        <w:t>胡才宝</w:t>
      </w:r>
      <w:r>
        <w:rPr>
          <w:rFonts w:hint="eastAsia" w:ascii="宋体" w:hAnsi="宋体" w:eastAsia="宋体" w:cs="宋体"/>
          <w:sz w:val="24"/>
          <w:szCs w:val="24"/>
          <w:lang w:eastAsia="zh-CN"/>
        </w:rPr>
        <w:t>，浙江医院副主任医师，目前在</w:t>
      </w:r>
      <w:r>
        <w:rPr>
          <w:rFonts w:hint="eastAsia" w:ascii="宋体" w:hAnsi="宋体" w:eastAsia="宋体" w:cs="宋体"/>
          <w:sz w:val="24"/>
          <w:szCs w:val="24"/>
          <w:lang w:val="en-US" w:eastAsia="zh-CN"/>
        </w:rPr>
        <w:t>浙江医院重症医学科 从事重症医学专业，项目完成单位：浙江医院。作为项目主要完成人，在项目工作顺利开展过程中，在各分中心工作协调联系中具重要贡献。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排名第3：</w:t>
      </w:r>
      <w:r>
        <w:rPr>
          <w:rFonts w:hint="eastAsia" w:ascii="宋体" w:hAnsi="宋体" w:eastAsia="宋体" w:cs="宋体"/>
          <w:sz w:val="24"/>
          <w:szCs w:val="24"/>
        </w:rPr>
        <w:t>杨敏春</w:t>
      </w:r>
      <w:r>
        <w:rPr>
          <w:rFonts w:hint="eastAsia" w:ascii="宋体" w:hAnsi="宋体" w:eastAsia="宋体" w:cs="宋体"/>
          <w:sz w:val="24"/>
          <w:szCs w:val="24"/>
          <w:lang w:eastAsia="zh-CN"/>
        </w:rPr>
        <w:t>：浙江医院副主任中医师，目前在</w:t>
      </w:r>
      <w:r>
        <w:rPr>
          <w:rFonts w:hint="eastAsia" w:ascii="宋体" w:hAnsi="宋体" w:eastAsia="宋体" w:cs="宋体"/>
          <w:sz w:val="24"/>
          <w:szCs w:val="24"/>
          <w:lang w:val="en-US" w:eastAsia="zh-CN"/>
        </w:rPr>
        <w:t>浙江医院中医内科 从事中医内科学专业，项目完成单位：浙江医院。作为项目主要完成人，</w:t>
      </w:r>
      <w:r>
        <w:rPr>
          <w:rFonts w:hint="eastAsia" w:ascii="宋体" w:hAnsi="宋体" w:eastAsia="宋体" w:cs="宋体"/>
          <w:sz w:val="24"/>
          <w:szCs w:val="24"/>
          <w:lang w:eastAsia="zh-CN"/>
        </w:rPr>
        <w:t>在项目开展研究过程中，在中医辨证论治、中医思想理论等方面具有重要贡献。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主要完成单位</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6055" cy="7021830"/>
            <wp:effectExtent l="0" t="0" r="10795" b="7620"/>
            <wp:docPr id="5" name="图片 5" descr="68594692254236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85946922542368539"/>
                    <pic:cNvPicPr>
                      <a:picLocks noChangeAspect="1"/>
                    </pic:cNvPicPr>
                  </pic:nvPicPr>
                  <pic:blipFill>
                    <a:blip r:embed="rId4"/>
                    <a:stretch>
                      <a:fillRect/>
                    </a:stretch>
                  </pic:blipFill>
                  <pic:spPr>
                    <a:xfrm>
                      <a:off x="0" y="0"/>
                      <a:ext cx="5266055" cy="7021830"/>
                    </a:xfrm>
                    <a:prstGeom prst="rect">
                      <a:avLst/>
                    </a:prstGeom>
                  </pic:spPr>
                </pic:pic>
              </a:graphicData>
            </a:graphic>
          </wp:inline>
        </w:drawing>
      </w:r>
    </w:p>
    <w:p>
      <w:pPr>
        <w:spacing w:line="360" w:lineRule="auto"/>
        <w:rPr>
          <w:rFonts w:hint="eastAsia" w:ascii="宋体" w:hAnsi="宋体"/>
          <w:sz w:val="30"/>
          <w:szCs w:val="30"/>
        </w:rPr>
      </w:pPr>
      <w:r>
        <w:rPr>
          <w:rFonts w:hint="eastAsia" w:ascii="宋体" w:hAnsi="宋体"/>
          <w:b/>
          <w:bCs/>
          <w:sz w:val="30"/>
          <w:szCs w:val="30"/>
          <w:lang w:eastAsia="zh-CN"/>
        </w:rPr>
        <w:t>八、主要</w:t>
      </w:r>
      <w:r>
        <w:rPr>
          <w:rFonts w:hint="eastAsia" w:ascii="宋体" w:hAnsi="宋体"/>
          <w:b/>
          <w:bCs/>
          <w:sz w:val="30"/>
          <w:szCs w:val="30"/>
        </w:rPr>
        <w:t>论文目录</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ascii="Times New Roman" w:hAnsi="Times New Roman"/>
          <w:sz w:val="24"/>
          <w:szCs w:val="24"/>
        </w:rPr>
      </w:pPr>
      <w:r>
        <w:rPr>
          <w:rFonts w:ascii="Times New Roman" w:hAnsi="Times New Roman" w:eastAsia="楷体"/>
          <w:sz w:val="24"/>
          <w:szCs w:val="24"/>
        </w:rPr>
        <w:t>Xu Qianghong,Yan Jing, Cai Guolong, Chen Jin, Li Li</w:t>
      </w:r>
      <w:r>
        <w:rPr>
          <w:rFonts w:hint="eastAsia" w:ascii="Times New Roman" w:hAnsi="Times New Roman" w:eastAsia="楷体"/>
          <w:sz w:val="24"/>
          <w:szCs w:val="24"/>
          <w:lang w:val="en-US" w:eastAsia="zh-CN"/>
        </w:rPr>
        <w:t>,</w:t>
      </w:r>
      <w:r>
        <w:rPr>
          <w:rFonts w:ascii="Times New Roman" w:hAnsi="Times New Roman" w:eastAsia="楷体"/>
          <w:sz w:val="24"/>
          <w:szCs w:val="24"/>
        </w:rPr>
        <w:t>Hu Caibao. Effect of two volume responsiveness evaluation methods on fluid resuscitation and prognosis in septic shock patients.Chinese Medical Journal,</w:t>
      </w:r>
      <w:r>
        <w:rPr>
          <w:rFonts w:ascii="Times New Roman" w:hAnsi="Times New Roman"/>
          <w:sz w:val="24"/>
          <w:szCs w:val="24"/>
        </w:rPr>
        <w:t xml:space="preserve"> 2014;127 (3)</w:t>
      </w:r>
      <w:r>
        <w:rPr>
          <w:rFonts w:ascii="Times New Roman" w:hAnsi="宋体"/>
          <w:sz w:val="24"/>
          <w:szCs w:val="24"/>
        </w:rPr>
        <w:t>：</w:t>
      </w:r>
      <w:r>
        <w:rPr>
          <w:rFonts w:ascii="Times New Roman" w:hAnsi="Times New Roman"/>
          <w:sz w:val="24"/>
          <w:szCs w:val="24"/>
        </w:rPr>
        <w:t>483-487.</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sz w:val="24"/>
          <w:szCs w:val="24"/>
        </w:rPr>
      </w:pPr>
      <w:r>
        <w:rPr>
          <w:rFonts w:hint="eastAsia" w:ascii="宋体" w:hAnsi="宋体"/>
          <w:sz w:val="24"/>
          <w:szCs w:val="24"/>
        </w:rPr>
        <w:t>胡才宝，严静，李莉，陈上仲，龚仕金，蔡国龙，王国付，陈日萍，朱颖，王倩倩。盲肠穿刺模型脓毒症大鼠不同时期炎症因子水平与心脏功能关系的研究。中华急危重症医学杂志电子版，</w:t>
      </w:r>
      <w:r>
        <w:rPr>
          <w:rFonts w:ascii="宋体" w:hAnsi="宋体"/>
          <w:sz w:val="24"/>
          <w:szCs w:val="24"/>
        </w:rPr>
        <w:t xml:space="preserve"> 2014</w:t>
      </w:r>
      <w:r>
        <w:rPr>
          <w:rFonts w:hint="eastAsia" w:ascii="宋体" w:hAnsi="宋体"/>
          <w:sz w:val="24"/>
          <w:szCs w:val="24"/>
        </w:rPr>
        <w:t>，</w:t>
      </w:r>
      <w:r>
        <w:rPr>
          <w:rFonts w:ascii="宋体" w:hAnsi="宋体"/>
          <w:sz w:val="24"/>
          <w:szCs w:val="24"/>
        </w:rPr>
        <w:t>7(3)</w:t>
      </w:r>
      <w:r>
        <w:rPr>
          <w:rFonts w:hint="eastAsia" w:ascii="宋体" w:hAnsi="宋体"/>
          <w:sz w:val="24"/>
          <w:szCs w:val="24"/>
        </w:rPr>
        <w:t>：</w:t>
      </w:r>
      <w:r>
        <w:rPr>
          <w:rFonts w:hint="eastAsia" w:ascii="宋体" w:hAnsi="宋体"/>
          <w:sz w:val="24"/>
          <w:szCs w:val="24"/>
          <w:lang w:val="en-US" w:eastAsia="zh-CN"/>
        </w:rPr>
        <w:t>11-15.</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sz w:val="24"/>
          <w:szCs w:val="24"/>
        </w:rPr>
      </w:pPr>
      <w:r>
        <w:rPr>
          <w:rFonts w:hint="eastAsia" w:ascii="宋体" w:hAnsi="宋体"/>
          <w:sz w:val="24"/>
          <w:szCs w:val="24"/>
        </w:rPr>
        <w:t>余海燕，蔡国龙，陈进，颜默磊，许强宏，胡才宝，吕晓春。伏立康唑治疗老年重症患者侵袭性真菌感染的疗效与安全性。中华医院感染学杂志，</w:t>
      </w:r>
      <w:r>
        <w:rPr>
          <w:rFonts w:ascii="宋体" w:hAnsi="宋体"/>
          <w:sz w:val="24"/>
          <w:szCs w:val="24"/>
        </w:rPr>
        <w:t>2014</w:t>
      </w:r>
      <w:r>
        <w:rPr>
          <w:rFonts w:hint="eastAsia" w:ascii="宋体" w:hAnsi="宋体"/>
          <w:sz w:val="24"/>
          <w:szCs w:val="24"/>
        </w:rPr>
        <w:t>，</w:t>
      </w:r>
      <w:r>
        <w:rPr>
          <w:rFonts w:ascii="宋体" w:hAnsi="宋体"/>
          <w:sz w:val="24"/>
          <w:szCs w:val="24"/>
        </w:rPr>
        <w:t>24</w:t>
      </w:r>
      <w:r>
        <w:rPr>
          <w:rFonts w:hint="eastAsia" w:ascii="宋体" w:hAnsi="宋体"/>
          <w:sz w:val="24"/>
          <w:szCs w:val="24"/>
        </w:rPr>
        <w:t>（</w:t>
      </w:r>
      <w:r>
        <w:rPr>
          <w:rFonts w:ascii="宋体" w:hAnsi="宋体"/>
          <w:sz w:val="24"/>
          <w:szCs w:val="24"/>
        </w:rPr>
        <w:t>1</w:t>
      </w:r>
      <w:r>
        <w:rPr>
          <w:rFonts w:hint="eastAsia" w:ascii="宋体" w:hAnsi="宋体"/>
          <w:sz w:val="24"/>
          <w:szCs w:val="24"/>
        </w:rPr>
        <w:t>）：102-104.</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ascii="Times New Roman" w:hAnsi="Times New Roman"/>
          <w:sz w:val="24"/>
          <w:szCs w:val="24"/>
        </w:rPr>
      </w:pPr>
      <w:r>
        <w:rPr>
          <w:rFonts w:ascii="Times New Roman" w:hAnsi="Times New Roman"/>
          <w:sz w:val="24"/>
          <w:szCs w:val="24"/>
        </w:rPr>
        <w:t>Cai Guo-long,Chen Jin,Hu Cai-bao,</w:t>
      </w:r>
      <w:r>
        <w:rPr>
          <w:rFonts w:hint="eastAsia" w:ascii="Times New Roman" w:hAnsi="Times New Roman"/>
          <w:sz w:val="24"/>
          <w:szCs w:val="24"/>
          <w:lang w:val="en-US" w:eastAsia="zh-CN"/>
        </w:rPr>
        <w:t>Yan Mo-Lei,Xu qiang hong,Yan Jing.</w:t>
      </w:r>
      <w:r>
        <w:rPr>
          <w:rFonts w:ascii="Times New Roman" w:hAnsi="Times New Roman"/>
          <w:sz w:val="24"/>
          <w:szCs w:val="24"/>
        </w:rPr>
        <w:t>Value of plasma brain natriuretic peptide levels for predicting postoperative atrial fibrillation: A systemic review and meta-analysis. World Journal of Surgery</w:t>
      </w:r>
      <w:r>
        <w:rPr>
          <w:rFonts w:ascii="Times New Roman" w:hAnsi="宋体"/>
          <w:sz w:val="24"/>
          <w:szCs w:val="24"/>
        </w:rPr>
        <w:t>，</w:t>
      </w:r>
      <w:r>
        <w:rPr>
          <w:rFonts w:ascii="Times New Roman" w:hAnsi="Times New Roman"/>
          <w:sz w:val="24"/>
          <w:szCs w:val="24"/>
        </w:rPr>
        <w:t>2013,37</w:t>
      </w:r>
      <w:r>
        <w:rPr>
          <w:rFonts w:ascii="Times New Roman" w:hAnsi="宋体"/>
          <w:sz w:val="24"/>
          <w:szCs w:val="24"/>
        </w:rPr>
        <w:t>（</w:t>
      </w:r>
      <w:r>
        <w:rPr>
          <w:rFonts w:ascii="Times New Roman" w:hAnsi="Times New Roman"/>
          <w:sz w:val="24"/>
          <w:szCs w:val="24"/>
        </w:rPr>
        <w:t>11</w:t>
      </w:r>
      <w:r>
        <w:rPr>
          <w:rFonts w:ascii="Times New Roman" w:hAnsi="宋体"/>
          <w:sz w:val="24"/>
          <w:szCs w:val="24"/>
        </w:rPr>
        <w:t>）：</w:t>
      </w:r>
      <w:r>
        <w:rPr>
          <w:rFonts w:ascii="Times New Roman" w:hAnsi="Times New Roman"/>
          <w:sz w:val="24"/>
          <w:szCs w:val="24"/>
        </w:rPr>
        <w:t>2505-2730.</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sz w:val="24"/>
          <w:szCs w:val="24"/>
        </w:rPr>
      </w:pPr>
      <w:r>
        <w:rPr>
          <w:rFonts w:hint="eastAsia" w:ascii="宋体" w:hAnsi="宋体"/>
          <w:sz w:val="24"/>
          <w:szCs w:val="24"/>
        </w:rPr>
        <w:t>蔡国龙，杨敏春，严静</w:t>
      </w:r>
      <w:r>
        <w:rPr>
          <w:rFonts w:hint="eastAsia" w:ascii="宋体" w:hAnsi="宋体"/>
          <w:sz w:val="24"/>
          <w:szCs w:val="24"/>
          <w:lang w:val="en-US" w:eastAsia="zh-CN"/>
        </w:rPr>
        <w:t>,</w:t>
      </w:r>
      <w:r>
        <w:rPr>
          <w:rFonts w:hint="eastAsia" w:ascii="宋体" w:hAnsi="宋体" w:eastAsia="宋体" w:cs="宋体"/>
          <w:sz w:val="24"/>
          <w:szCs w:val="24"/>
          <w:lang w:eastAsia="zh-CN"/>
        </w:rPr>
        <w:t>陈进，许强宏，颜默磊，余海燕，吕晓春，胡才宝</w:t>
      </w:r>
      <w:r>
        <w:rPr>
          <w:rFonts w:hint="eastAsia" w:ascii="宋体" w:hAnsi="宋体"/>
          <w:sz w:val="24"/>
          <w:szCs w:val="24"/>
        </w:rPr>
        <w:t>。</w:t>
      </w:r>
      <w:r>
        <w:rPr>
          <w:rFonts w:ascii="宋体" w:hAnsi="宋体"/>
          <w:sz w:val="24"/>
          <w:szCs w:val="24"/>
        </w:rPr>
        <w:t>脓毒症患者不同中医证型</w:t>
      </w:r>
      <w:r>
        <w:rPr>
          <w:rFonts w:hint="eastAsia" w:ascii="宋体" w:hAnsi="宋体"/>
          <w:sz w:val="24"/>
          <w:szCs w:val="24"/>
        </w:rPr>
        <w:t>T</w:t>
      </w:r>
      <w:r>
        <w:rPr>
          <w:rFonts w:ascii="宋体" w:hAnsi="宋体"/>
          <w:sz w:val="24"/>
          <w:szCs w:val="24"/>
        </w:rPr>
        <w:t>淋巴细胞亚群及活化淋巴细胞的变化</w:t>
      </w:r>
      <w:r>
        <w:rPr>
          <w:rFonts w:hint="eastAsia" w:ascii="宋体" w:hAnsi="宋体"/>
          <w:sz w:val="24"/>
          <w:szCs w:val="24"/>
        </w:rPr>
        <w:t>。中华中医药学刊，2013,31(8):1608-1610.</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sz w:val="24"/>
          <w:szCs w:val="24"/>
        </w:rPr>
      </w:pPr>
      <w:r>
        <w:rPr>
          <w:rFonts w:hint="eastAsia" w:ascii="宋体" w:hAnsi="宋体"/>
          <w:sz w:val="24"/>
          <w:szCs w:val="24"/>
        </w:rPr>
        <w:t>林娟，钟既宁，陈丽，胡才宝，蔡国龙</w:t>
      </w:r>
      <w:r>
        <w:rPr>
          <w:rFonts w:hint="eastAsia" w:ascii="宋体" w:hAnsi="宋体"/>
          <w:sz w:val="24"/>
          <w:szCs w:val="24"/>
          <w:lang w:eastAsia="zh-CN"/>
        </w:rPr>
        <w:t>。</w:t>
      </w:r>
      <w:r>
        <w:rPr>
          <w:rFonts w:hint="eastAsia" w:ascii="宋体" w:hAnsi="宋体"/>
          <w:sz w:val="24"/>
          <w:szCs w:val="24"/>
        </w:rPr>
        <w:t>ICU中心静脉导管相关性血流感染持续质量改进的成效分析.</w:t>
      </w:r>
      <w:r>
        <w:rPr>
          <w:rFonts w:hint="eastAsia" w:ascii="宋体" w:hAnsi="宋体"/>
          <w:sz w:val="24"/>
          <w:szCs w:val="24"/>
          <w:lang w:eastAsia="zh-CN"/>
        </w:rPr>
        <w:t>。</w:t>
      </w:r>
      <w:r>
        <w:rPr>
          <w:rFonts w:hint="eastAsia" w:ascii="宋体" w:hAnsi="宋体"/>
          <w:sz w:val="24"/>
          <w:szCs w:val="24"/>
        </w:rPr>
        <w:t>中华医院感染学杂志,2013,23(12):2804-2806.</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cs="宋体"/>
          <w:kern w:val="0"/>
          <w:sz w:val="24"/>
          <w:szCs w:val="24"/>
        </w:rPr>
      </w:pPr>
      <w:r>
        <w:rPr>
          <w:rFonts w:hint="eastAsia" w:ascii="宋体" w:hAnsi="宋体"/>
          <w:sz w:val="24"/>
          <w:szCs w:val="24"/>
        </w:rPr>
        <w:t>黄勍栋，蔡国龙，严静，胡才宝。重症肺炎合并高血糖患者强化胰岛素治疗的探讨 .中华医院感染学杂志,2012，10（22）：2060-2062.</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cs="宋体"/>
          <w:kern w:val="0"/>
          <w:sz w:val="24"/>
          <w:szCs w:val="24"/>
        </w:rPr>
      </w:pPr>
      <w:r>
        <w:rPr>
          <w:rFonts w:hint="eastAsia" w:ascii="宋体" w:hAnsi="宋体"/>
          <w:sz w:val="24"/>
          <w:szCs w:val="24"/>
        </w:rPr>
        <w:t>许强宏，蔡国龙，吕晓春，胡才宝，严静。ω-3鱼油脂肪乳剂对重症急性胰腺炎患者炎症免疫与器官功能的影响 .中华内科杂志,2012,51（12）：695-698.</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sz w:val="24"/>
          <w:szCs w:val="24"/>
        </w:rPr>
      </w:pPr>
      <w:r>
        <w:rPr>
          <w:rFonts w:hint="eastAsia" w:ascii="宋体" w:hAnsi="宋体" w:cs="宋体"/>
          <w:kern w:val="0"/>
          <w:sz w:val="24"/>
          <w:szCs w:val="24"/>
        </w:rPr>
        <w:t>杨敏春，张召才，蔡国龙，胡才宝，姚惠，许雅萍，严静。脓毒症患者内皮细胞功能及相关炎症因子与中医证型的相关性,中医杂志,</w:t>
      </w:r>
      <w:r>
        <w:rPr>
          <w:rFonts w:ascii="宋体" w:hAnsi="宋体" w:cs="宋体"/>
          <w:kern w:val="0"/>
          <w:sz w:val="24"/>
          <w:szCs w:val="24"/>
        </w:rPr>
        <w:t>2010</w:t>
      </w:r>
      <w:r>
        <w:rPr>
          <w:rFonts w:hint="eastAsia" w:ascii="宋体" w:hAnsi="宋体" w:cs="宋体"/>
          <w:kern w:val="0"/>
          <w:sz w:val="24"/>
          <w:szCs w:val="24"/>
        </w:rPr>
        <w:t>，</w:t>
      </w:r>
      <w:r>
        <w:rPr>
          <w:rFonts w:ascii="宋体" w:hAnsi="宋体" w:cs="宋体"/>
          <w:kern w:val="0"/>
          <w:sz w:val="24"/>
          <w:szCs w:val="24"/>
        </w:rPr>
        <w:t>51</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）：253－255.</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right="0" w:rightChars="0" w:hanging="420" w:firstLineChars="0"/>
        <w:jc w:val="both"/>
        <w:textAlignment w:val="auto"/>
        <w:outlineLvl w:val="9"/>
        <w:rPr>
          <w:rFonts w:hint="eastAsia" w:ascii="宋体" w:hAnsi="宋体" w:cs="宋体"/>
          <w:kern w:val="0"/>
          <w:sz w:val="24"/>
          <w:szCs w:val="24"/>
        </w:rPr>
      </w:pPr>
      <w:r>
        <w:rPr>
          <w:rFonts w:hint="eastAsia" w:ascii="宋体" w:hAnsi="宋体" w:cs="宋体"/>
          <w:kern w:val="0"/>
          <w:sz w:val="24"/>
          <w:szCs w:val="24"/>
        </w:rPr>
        <w:t>许雅萍，杨敏春，张召才，蔡国龙，胡才宝，钱沈京，严静。血清血管性血友病因子在不同中医证型脓毒症中的变化。中国中西医结合急救杂志，2009，16（4）：211－214.</w:t>
      </w:r>
    </w:p>
    <w:p>
      <w:pPr>
        <w:jc w:val="left"/>
        <w:rPr>
          <w:rFonts w:hint="eastAsia" w:ascii="宋体" w:hAnsi="宋体" w:eastAsia="宋体" w:cs="宋体"/>
          <w:sz w:val="24"/>
          <w:szCs w:val="24"/>
          <w:lang w:val="en-US" w:eastAsia="zh-CN"/>
        </w:rPr>
      </w:pPr>
    </w:p>
    <w:p>
      <w:pPr>
        <w:jc w:val="both"/>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九、知情同意报将证明</w:t>
      </w:r>
    </w:p>
    <w:p>
      <w:pPr>
        <w:jc w:val="center"/>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清热解毒通腑法治疗毒热内盛型脓毒症-多中心前瞻性随机对照研究</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366395</wp:posOffset>
                </wp:positionV>
                <wp:extent cx="5210175" cy="635"/>
                <wp:effectExtent l="0" t="0" r="0" b="0"/>
                <wp:wrapNone/>
                <wp:docPr id="3" name="直线 2"/>
                <wp:cNvGraphicFramePr/>
                <a:graphic xmlns:a="http://schemas.openxmlformats.org/drawingml/2006/main">
                  <a:graphicData uri="http://schemas.microsoft.com/office/word/2010/wordprocessingShape">
                    <wps:wsp>
                      <wps:cNvCnPr/>
                      <wps:spPr>
                        <a:xfrm>
                          <a:off x="0" y="0"/>
                          <a:ext cx="5210175"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2" o:spid="_x0000_s1026" o:spt="20" style="position:absolute;left:0pt;margin-left:-0.1pt;margin-top:28.85pt;height:0.05pt;width:410.25pt;z-index:251658240;mso-width-relative:page;mso-height-relative:page;" filled="f" stroked="t" coordsize="21600,21600" o:gfxdata="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wxXe9EAAAAHAQAADwAAAAAAAAABACAAAAAiAAAAZHJz&#10;L2Rvd25yZXYueG1sUEsBAhQAFAAAAAgAh07iQGp9IxbSAQAAkAMAAA4AAAAAAAAAAQAgAAAAIAEA&#10;AGRycy9lMm9Eb2MueG1sUEsFBgAAAAAGAAYAWQEAAGQFAAAAAA==&#10;">
                <v:fill on="f" focussize="0,0"/>
                <v:stroke weight="1.25pt" color="#739CC3" joinstyle="round"/>
                <v:imagedata o:title=""/>
                <o:lock v:ext="edit" aspectratio="f"/>
              </v:line>
            </w:pict>
          </mc:Fallback>
        </mc:AlternateContent>
      </w:r>
      <w:r>
        <w:rPr>
          <w:rFonts w:hint="eastAsia" w:ascii="宋体" w:hAnsi="宋体" w:eastAsia="宋体" w:cs="宋体"/>
          <w:sz w:val="24"/>
          <w:szCs w:val="24"/>
          <w:lang w:val="en-US" w:eastAsia="zh-CN"/>
        </w:rPr>
        <w:t>报将类别：浙江省科学技术进步奖</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论文</w:t>
      </w:r>
      <w:r>
        <w:rPr>
          <w:rFonts w:hint="eastAsia" w:ascii="宋体" w:hAnsi="宋体" w:eastAsia="宋体" w:cs="宋体"/>
          <w:sz w:val="24"/>
          <w:szCs w:val="24"/>
          <w:lang w:val="en-US" w:eastAsia="zh-CN"/>
        </w:rPr>
        <w:t>/专著/专利名称                作者、发明人（培育人）、</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权利人</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2540</wp:posOffset>
                </wp:positionV>
                <wp:extent cx="5210175" cy="635"/>
                <wp:effectExtent l="0" t="0" r="0" b="0"/>
                <wp:wrapNone/>
                <wp:docPr id="2" name="直线 3"/>
                <wp:cNvGraphicFramePr/>
                <a:graphic xmlns:a="http://schemas.openxmlformats.org/drawingml/2006/main">
                  <a:graphicData uri="http://schemas.microsoft.com/office/word/2010/wordprocessingShape">
                    <wps:wsp>
                      <wps:cNvCnPr/>
                      <wps:spPr>
                        <a:xfrm>
                          <a:off x="0" y="0"/>
                          <a:ext cx="5210175"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3" o:spid="_x0000_s1026" o:spt="20" style="position:absolute;left:0pt;margin-left:-3.1pt;margin-top:0.2pt;height:0.05pt;width:410.25pt;z-index:251659264;mso-width-relative:page;mso-height-relative:page;" filled="f" stroked="t" coordsize="21600,21600" o:gfxdata="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5Qsr0QAAAAQBAAAPAAAAAAAAAAEAIAAAACIAAABk&#10;cnMvZG93bnJldi54bWxQSwECFAAUAAAACACHTuJA3exu8NQBAACQAwAADgAAAAAAAAABACAAAAAg&#10;AQAAZHJzL2Uyb0RvYy54bWxQSwUGAAAAAAYABgBZAQAAZgUAAAAA&#10;">
                <v:fill on="f" focussize="0,0"/>
                <v:stroke weight="1.25pt" color="#739CC3" joinstyle="round"/>
                <v:imagedata o:title=""/>
                <o:lock v:ext="edit" aspectratio="f"/>
              </v:line>
            </w:pict>
          </mc:Fallback>
        </mc:AlternateContent>
      </w:r>
      <w:r>
        <w:rPr>
          <w:rFonts w:hint="eastAsia" w:ascii="宋体" w:hAnsi="宋体" w:eastAsia="宋体" w:cs="宋体"/>
          <w:sz w:val="21"/>
          <w:szCs w:val="21"/>
        </w:rPr>
        <w:t>Effect of two volume responsiveness</w:t>
      </w:r>
      <w:r>
        <w:rPr>
          <w:rFonts w:hint="eastAsia" w:ascii="宋体" w:hAnsi="宋体" w:eastAsia="宋体" w:cs="宋体"/>
          <w:sz w:val="21"/>
          <w:szCs w:val="21"/>
          <w:lang w:val="en-US" w:eastAsia="zh-CN"/>
        </w:rPr>
        <w:t xml:space="preserve">           许强宏，严静，蔡国龙，陈进，李莉，</w:t>
      </w:r>
    </w:p>
    <w:p>
      <w:pPr>
        <w:jc w:val="left"/>
        <w:rPr>
          <w:rFonts w:hint="eastAsia" w:ascii="宋体" w:hAnsi="宋体" w:eastAsia="宋体" w:cs="宋体"/>
          <w:sz w:val="21"/>
          <w:szCs w:val="21"/>
        </w:rPr>
      </w:pPr>
      <w:r>
        <w:rPr>
          <w:rFonts w:hint="eastAsia" w:ascii="宋体" w:hAnsi="宋体" w:eastAsia="宋体" w:cs="宋体"/>
          <w:sz w:val="21"/>
          <w:szCs w:val="21"/>
        </w:rPr>
        <w:t xml:space="preserve">evaluation methods on fluid resuscitation </w:t>
      </w:r>
      <w:r>
        <w:rPr>
          <w:rFonts w:hint="eastAsia" w:ascii="宋体" w:hAnsi="宋体" w:eastAsia="宋体" w:cs="宋体"/>
          <w:sz w:val="21"/>
          <w:szCs w:val="21"/>
          <w:lang w:val="en-US" w:eastAsia="zh-CN"/>
        </w:rPr>
        <w:t xml:space="preserve">    胡才宝。</w:t>
      </w:r>
    </w:p>
    <w:p>
      <w:pPr>
        <w:jc w:val="left"/>
        <w:rPr>
          <w:rFonts w:hint="eastAsia" w:ascii="宋体" w:hAnsi="宋体" w:eastAsia="宋体" w:cs="宋体"/>
          <w:sz w:val="21"/>
          <w:szCs w:val="21"/>
        </w:rPr>
      </w:pPr>
      <w:r>
        <w:rPr>
          <w:rFonts w:hint="eastAsia" w:ascii="宋体" w:hAnsi="宋体" w:eastAsia="宋体" w:cs="宋体"/>
          <w:sz w:val="21"/>
          <w:szCs w:val="21"/>
        </w:rPr>
        <w:t>and prognosis in septic shock patients</w:t>
      </w: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Value of plasma brain natriuretic peptide </w:t>
      </w:r>
      <w:r>
        <w:rPr>
          <w:rFonts w:hint="eastAsia" w:ascii="宋体" w:hAnsi="宋体" w:eastAsia="宋体" w:cs="宋体"/>
          <w:sz w:val="21"/>
          <w:szCs w:val="21"/>
          <w:lang w:val="en-US" w:eastAsia="zh-CN"/>
        </w:rPr>
        <w:t xml:space="preserve">     蔡国龙，陈进，胡才宝，颜默磊，</w:t>
      </w:r>
    </w:p>
    <w:p>
      <w:pPr>
        <w:jc w:val="left"/>
        <w:rPr>
          <w:rFonts w:hint="eastAsia" w:ascii="宋体" w:hAnsi="宋体" w:eastAsia="宋体" w:cs="宋体"/>
          <w:sz w:val="21"/>
          <w:szCs w:val="21"/>
        </w:rPr>
      </w:pPr>
      <w:r>
        <w:rPr>
          <w:rFonts w:hint="eastAsia" w:ascii="宋体" w:hAnsi="宋体" w:eastAsia="宋体" w:cs="宋体"/>
          <w:sz w:val="21"/>
          <w:szCs w:val="21"/>
        </w:rPr>
        <w:t xml:space="preserve">levels for predicting postoperative atrial </w:t>
      </w:r>
      <w:r>
        <w:rPr>
          <w:rFonts w:hint="eastAsia" w:ascii="宋体" w:hAnsi="宋体" w:eastAsia="宋体" w:cs="宋体"/>
          <w:sz w:val="21"/>
          <w:szCs w:val="21"/>
          <w:lang w:val="en-US" w:eastAsia="zh-CN"/>
        </w:rPr>
        <w:t xml:space="preserve">    许强宏，严静。</w:t>
      </w:r>
    </w:p>
    <w:p>
      <w:pPr>
        <w:jc w:val="left"/>
        <w:rPr>
          <w:rFonts w:hint="eastAsia" w:ascii="宋体" w:hAnsi="宋体" w:eastAsia="宋体" w:cs="宋体"/>
          <w:sz w:val="21"/>
          <w:szCs w:val="21"/>
        </w:rPr>
      </w:pPr>
      <w:r>
        <w:rPr>
          <w:rFonts w:hint="eastAsia" w:ascii="宋体" w:hAnsi="宋体" w:eastAsia="宋体" w:cs="宋体"/>
          <w:sz w:val="21"/>
          <w:szCs w:val="21"/>
        </w:rPr>
        <w:t xml:space="preserve">fibrillation: A systemic review and </w:t>
      </w:r>
    </w:p>
    <w:p>
      <w:pPr>
        <w:jc w:val="left"/>
        <w:rPr>
          <w:rFonts w:hint="eastAsia" w:ascii="宋体" w:hAnsi="宋体" w:eastAsia="宋体" w:cs="宋体"/>
          <w:sz w:val="21"/>
          <w:szCs w:val="21"/>
        </w:rPr>
      </w:pPr>
      <w:r>
        <w:rPr>
          <w:rFonts w:hint="eastAsia" w:ascii="宋体" w:hAnsi="宋体" w:eastAsia="宋体" w:cs="宋体"/>
          <w:sz w:val="21"/>
          <w:szCs w:val="21"/>
        </w:rPr>
        <w:t>meta-analysis</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t>盲肠穿刺模型脓毒症大鼠不同时期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胡才宝，严静，李莉，陈上仲，龚仕金，蔡国龙，</w:t>
      </w:r>
    </w:p>
    <w:p>
      <w:pPr>
        <w:jc w:val="left"/>
        <w:rPr>
          <w:rFonts w:hint="eastAsia" w:ascii="宋体" w:hAnsi="宋体" w:eastAsia="宋体" w:cs="宋体"/>
          <w:sz w:val="21"/>
          <w:szCs w:val="21"/>
        </w:rPr>
      </w:pPr>
      <w:r>
        <w:rPr>
          <w:rFonts w:hint="eastAsia" w:ascii="宋体" w:hAnsi="宋体" w:eastAsia="宋体" w:cs="宋体"/>
          <w:sz w:val="21"/>
          <w:szCs w:val="21"/>
        </w:rPr>
        <w:t>炎症因子水平与心脏功能关系的研究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王国付，陈日萍，朱颖，王倩倩</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伏立康唑治疗老年重症患者侵袭性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余海燕，蔡国龙，陈进，颜默磊，许强宏，</w:t>
      </w:r>
    </w:p>
    <w:p>
      <w:pPr>
        <w:jc w:val="left"/>
        <w:rPr>
          <w:rFonts w:hint="eastAsia" w:ascii="宋体" w:hAnsi="宋体" w:eastAsia="宋体" w:cs="宋体"/>
          <w:sz w:val="21"/>
          <w:szCs w:val="21"/>
        </w:rPr>
      </w:pPr>
      <w:r>
        <w:rPr>
          <w:rFonts w:hint="eastAsia" w:ascii="宋体" w:hAnsi="宋体" w:eastAsia="宋体" w:cs="宋体"/>
          <w:sz w:val="21"/>
          <w:szCs w:val="21"/>
        </w:rPr>
        <w:t>真菌感染的疗效与安全性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胡才宝，吕晓春</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p>
    <w:p>
      <w:pPr>
        <w:jc w:val="left"/>
        <w:rPr>
          <w:rFonts w:hint="eastAsia" w:ascii="宋体" w:hAnsi="宋体" w:eastAsia="宋体" w:cs="宋体"/>
          <w:sz w:val="21"/>
          <w:szCs w:val="21"/>
          <w:lang w:eastAsia="zh-CN"/>
        </w:rPr>
      </w:pPr>
      <w:r>
        <w:rPr>
          <w:rFonts w:hint="eastAsia" w:ascii="宋体" w:hAnsi="宋体" w:eastAsia="宋体" w:cs="宋体"/>
          <w:sz w:val="21"/>
          <w:szCs w:val="21"/>
        </w:rPr>
        <w:t>脓毒症患者不同中医证型T淋巴细胞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蔡国龙，杨敏春，严静</w:t>
      </w:r>
      <w:r>
        <w:rPr>
          <w:rFonts w:hint="eastAsia" w:ascii="宋体" w:hAnsi="宋体" w:eastAsia="宋体" w:cs="宋体"/>
          <w:sz w:val="21"/>
          <w:szCs w:val="21"/>
          <w:lang w:eastAsia="zh-CN"/>
        </w:rPr>
        <w:t>，陈进，许强宏，颜默磊，</w:t>
      </w:r>
    </w:p>
    <w:p>
      <w:pPr>
        <w:jc w:val="left"/>
        <w:rPr>
          <w:rFonts w:hint="eastAsia" w:ascii="宋体" w:hAnsi="宋体" w:eastAsia="宋体" w:cs="宋体"/>
          <w:sz w:val="21"/>
          <w:szCs w:val="21"/>
          <w:lang w:eastAsia="zh-CN"/>
        </w:rPr>
      </w:pPr>
      <w:r>
        <w:rPr>
          <w:rFonts w:hint="eastAsia" w:ascii="宋体" w:hAnsi="宋体" w:eastAsia="宋体" w:cs="宋体"/>
          <w:sz w:val="21"/>
          <w:szCs w:val="21"/>
        </w:rPr>
        <w:t>亚群及活化淋巴细胞的变化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余海燕，吕晓春，胡才宝。</w:t>
      </w:r>
    </w:p>
    <w:p>
      <w:pPr>
        <w:jc w:val="left"/>
        <w:rPr>
          <w:rFonts w:hint="eastAsia" w:ascii="宋体" w:hAnsi="宋体" w:eastAsia="宋体" w:cs="宋体"/>
          <w:sz w:val="21"/>
          <w:szCs w:val="21"/>
          <w:lang w:eastAsia="zh-CN"/>
        </w:rPr>
      </w:pPr>
    </w:p>
    <w:p>
      <w:pPr>
        <w:jc w:val="left"/>
        <w:rPr>
          <w:rFonts w:hint="eastAsia" w:ascii="宋体" w:hAnsi="宋体" w:eastAsia="宋体" w:cs="宋体"/>
          <w:sz w:val="21"/>
          <w:szCs w:val="21"/>
        </w:rPr>
      </w:pPr>
      <w:r>
        <w:rPr>
          <w:rFonts w:hint="eastAsia" w:ascii="宋体" w:hAnsi="宋体" w:eastAsia="宋体" w:cs="宋体"/>
          <w:sz w:val="21"/>
          <w:szCs w:val="21"/>
        </w:rPr>
        <w:t>ICU中心静脉导管相关性血流感染持续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林娟，钟既宁，陈丽，胡才宝，蔡国龙</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r>
        <w:rPr>
          <w:rFonts w:hint="eastAsia" w:ascii="宋体" w:hAnsi="宋体" w:eastAsia="宋体" w:cs="宋体"/>
          <w:sz w:val="21"/>
          <w:szCs w:val="21"/>
        </w:rPr>
        <w:t>质量改进的成效分析</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重症肺炎合并高血糖患者强化胰岛素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黄勍栋，蔡国龙，严静，胡才宝</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r>
        <w:rPr>
          <w:rFonts w:hint="eastAsia" w:ascii="宋体" w:hAnsi="宋体" w:eastAsia="宋体" w:cs="宋体"/>
          <w:sz w:val="21"/>
          <w:szCs w:val="21"/>
        </w:rPr>
        <w:t>治疗的探讨</w:t>
      </w:r>
    </w:p>
    <w:p>
      <w:pPr>
        <w:jc w:val="left"/>
        <w:rPr>
          <w:rFonts w:hint="eastAsia" w:ascii="宋体" w:hAnsi="宋体" w:eastAsia="宋体" w:cs="宋体"/>
          <w:sz w:val="21"/>
          <w:szCs w:val="21"/>
        </w:rPr>
      </w:pPr>
    </w:p>
    <w:p>
      <w:pPr>
        <w:jc w:val="left"/>
        <w:rPr>
          <w:rFonts w:hint="eastAsia" w:ascii="宋体" w:hAnsi="宋体" w:eastAsia="宋体" w:cs="宋体"/>
          <w:sz w:val="21"/>
          <w:szCs w:val="21"/>
          <w:lang w:eastAsia="zh-CN"/>
        </w:rPr>
      </w:pPr>
      <w:r>
        <w:rPr>
          <w:rFonts w:hint="eastAsia" w:ascii="宋体" w:hAnsi="宋体" w:eastAsia="宋体" w:cs="宋体"/>
          <w:sz w:val="21"/>
          <w:szCs w:val="21"/>
        </w:rPr>
        <w:t>ω-3鱼油脂肪乳剂对重症急性胰腺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许强宏，蔡国龙，吕晓春，胡才宝，</w:t>
      </w:r>
      <w:r>
        <w:rPr>
          <w:rFonts w:hint="eastAsia" w:ascii="宋体" w:hAnsi="宋体" w:eastAsia="宋体" w:cs="宋体"/>
          <w:sz w:val="21"/>
          <w:szCs w:val="21"/>
          <w:lang w:eastAsia="zh-CN"/>
        </w:rPr>
        <w:t>陈进，</w:t>
      </w:r>
    </w:p>
    <w:p>
      <w:pPr>
        <w:jc w:val="left"/>
        <w:rPr>
          <w:rFonts w:hint="eastAsia" w:ascii="宋体" w:hAnsi="宋体" w:eastAsia="宋体" w:cs="宋体"/>
          <w:sz w:val="21"/>
          <w:szCs w:val="21"/>
        </w:rPr>
      </w:pPr>
      <w:r>
        <w:rPr>
          <w:rFonts w:hint="eastAsia" w:ascii="宋体" w:hAnsi="宋体" w:eastAsia="宋体" w:cs="宋体"/>
          <w:sz w:val="21"/>
          <w:szCs w:val="21"/>
        </w:rPr>
        <w:t>炎患者炎症免疫与器官功能的影响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严静</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脓毒症患者内皮细胞功能及相关炎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杨敏春，张召才，蔡国龙，胡才宝，姚惠，</w:t>
      </w:r>
    </w:p>
    <w:p>
      <w:pPr>
        <w:jc w:val="left"/>
        <w:rPr>
          <w:rFonts w:hint="eastAsia" w:ascii="宋体" w:hAnsi="宋体" w:eastAsia="宋体" w:cs="宋体"/>
          <w:sz w:val="21"/>
          <w:szCs w:val="21"/>
        </w:rPr>
      </w:pPr>
      <w:r>
        <w:rPr>
          <w:rFonts w:hint="eastAsia" w:ascii="宋体" w:hAnsi="宋体" w:eastAsia="宋体" w:cs="宋体"/>
          <w:sz w:val="21"/>
          <w:szCs w:val="21"/>
        </w:rPr>
        <w:t>症因子与中医证型的相关性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许雅萍，严静</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t>血清血管性血友病因子在不同中医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许雅萍，杨敏春，张召才，蔡国龙，胡才</w:t>
      </w:r>
    </w:p>
    <w:p>
      <w:pPr>
        <w:jc w:val="left"/>
        <w:rPr>
          <w:rFonts w:hint="eastAsia" w:ascii="宋体" w:hAnsi="宋体" w:eastAsia="宋体" w:cs="宋体"/>
          <w:sz w:val="21"/>
          <w:szCs w:val="21"/>
        </w:rPr>
      </w:pPr>
      <w:r>
        <w:rPr>
          <w:rFonts w:hint="eastAsia" w:ascii="宋体" w:hAnsi="宋体" w:eastAsia="宋体" w:cs="宋体"/>
          <w:sz w:val="21"/>
          <w:szCs w:val="21"/>
        </w:rPr>
        <w:t>证型脓毒症中的变化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宝，钱沈京，严静</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86360</wp:posOffset>
                </wp:positionV>
                <wp:extent cx="5210175" cy="635"/>
                <wp:effectExtent l="0" t="0" r="0" b="0"/>
                <wp:wrapNone/>
                <wp:docPr id="1" name="直线 4"/>
                <wp:cNvGraphicFramePr/>
                <a:graphic xmlns:a="http://schemas.openxmlformats.org/drawingml/2006/main">
                  <a:graphicData uri="http://schemas.microsoft.com/office/word/2010/wordprocessingShape">
                    <wps:wsp>
                      <wps:cNvCnPr/>
                      <wps:spPr>
                        <a:xfrm>
                          <a:off x="0" y="0"/>
                          <a:ext cx="5210175"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4" o:spid="_x0000_s1026" o:spt="20" style="position:absolute;left:0pt;margin-left:-0.1pt;margin-top:6.8pt;height:0.05pt;width:410.25pt;z-index:251661312;mso-width-relative:page;mso-height-relative:page;" filled="f" stroked="t" coordsize="21600,21600" o:gfxdata="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Ck/E0QAAAAcBAAAPAAAAAAAAAAEAIAAAACIAAABkcnMv&#10;ZG93bnJldi54bWxQSwECFAAUAAAACACHTuJA65gJF9EBAACQAwAADgAAAAAAAAABACAAAAAgAQAA&#10;ZHJzL2Uyb0RvYy54bWxQSwUGAAAAAAYABgBZAQAAYwUAAAAA&#10;">
                <v:fill on="f" focussize="0,0"/>
                <v:stroke weight="1.25pt" color="#739CC3" joinstyle="round"/>
                <v:imagedata o:title=""/>
                <o:lock v:ext="edit" aspectratio="f"/>
              </v:line>
            </w:pict>
          </mc:Fallback>
        </mc:AlternateContent>
      </w:r>
      <w:r>
        <w:rPr>
          <w:rFonts w:hint="eastAsia" w:ascii="宋体" w:hAnsi="宋体" w:eastAsia="宋体" w:cs="宋体"/>
          <w:sz w:val="24"/>
          <w:szCs w:val="24"/>
          <w:lang w:val="en-US" w:eastAsia="zh-CN"/>
        </w:rPr>
        <w:t xml:space="preserve">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6055" cy="7021830"/>
            <wp:effectExtent l="0" t="0" r="10795" b="7620"/>
            <wp:docPr id="4" name="图片 4" descr="82280982452020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22809824520200760"/>
                    <pic:cNvPicPr>
                      <a:picLocks noChangeAspect="1"/>
                    </pic:cNvPicPr>
                  </pic:nvPicPr>
                  <pic:blipFill>
                    <a:blip r:embed="rId5"/>
                    <a:stretch>
                      <a:fillRect/>
                    </a:stretch>
                  </pic:blipFill>
                  <pic:spPr>
                    <a:xfrm>
                      <a:off x="0" y="0"/>
                      <a:ext cx="5266055" cy="7021830"/>
                    </a:xfrm>
                    <a:prstGeom prst="rect">
                      <a:avLst/>
                    </a:prstGeom>
                  </pic:spPr>
                </pic:pic>
              </a:graphicData>
            </a:graphic>
          </wp:inline>
        </w:drawing>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8"/>
          <w:szCs w:val="28"/>
          <w:lang w:val="en-US" w:eastAsia="zh-CN"/>
        </w:rPr>
      </w:pPr>
    </w:p>
    <w:p>
      <w:pPr>
        <w:jc w:val="left"/>
        <w:rPr>
          <w:rFonts w:hint="eastAsia" w:ascii="宋体" w:hAnsi="宋体" w:eastAsia="宋体" w:cs="宋体"/>
          <w:sz w:val="28"/>
          <w:szCs w:val="28"/>
          <w:lang w:val="en-US" w:eastAsia="zh-CN"/>
        </w:rPr>
      </w:pPr>
    </w:p>
    <w:p>
      <w:pPr>
        <w:jc w:val="left"/>
        <w:rPr>
          <w:rFonts w:hint="eastAsia" w:ascii="宋体" w:hAnsi="宋体" w:eastAsia="宋体" w:cs="宋体"/>
          <w:sz w:val="28"/>
          <w:szCs w:val="28"/>
          <w:lang w:val="en-US" w:eastAsia="zh-CN"/>
        </w:rPr>
      </w:pPr>
    </w:p>
    <w:p>
      <w:pPr>
        <w:jc w:val="left"/>
        <w:rPr>
          <w:rFonts w:ascii="黑体" w:eastAsia="黑体"/>
          <w:sz w:val="28"/>
          <w:szCs w:val="28"/>
        </w:rPr>
      </w:pPr>
      <w:r>
        <w:rPr>
          <w:rFonts w:hint="eastAsia" w:ascii="宋体" w:hAnsi="宋体" w:eastAsia="宋体" w:cs="宋体"/>
          <w:sz w:val="28"/>
          <w:szCs w:val="28"/>
          <w:lang w:val="en-US" w:eastAsia="zh-CN"/>
        </w:rPr>
        <w:t>十、</w:t>
      </w:r>
      <w:r>
        <w:rPr>
          <w:rFonts w:hint="eastAsia" w:ascii="黑体" w:eastAsia="黑体"/>
          <w:sz w:val="28"/>
          <w:szCs w:val="28"/>
        </w:rPr>
        <w:t>推荐单位意见</w:t>
      </w:r>
    </w:p>
    <w:p/>
    <w:tbl>
      <w:tblPr>
        <w:tblStyle w:val="9"/>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843"/>
        <w:gridCol w:w="1184"/>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tcBorders>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推荐单位</w:t>
            </w:r>
          </w:p>
        </w:tc>
        <w:tc>
          <w:tcPr>
            <w:tcW w:w="8278" w:type="dxa"/>
            <w:gridSpan w:val="5"/>
            <w:tcBorders>
              <w:left w:val="single" w:color="auto" w:sz="4" w:space="0"/>
              <w:right w:val="single" w:color="auto" w:sz="4" w:space="0"/>
            </w:tcBorders>
            <w:vAlign w:val="center"/>
          </w:tcPr>
          <w:p>
            <w:pPr>
              <w:rPr>
                <w:rFonts w:hint="eastAsia" w:ascii="仿宋_GB2312" w:hAnsi="宋体" w:eastAsia="仿宋_GB2312"/>
                <w:sz w:val="24"/>
                <w:lang w:val="en-US" w:eastAsia="zh-CN"/>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vAlign w:val="center"/>
          </w:tcPr>
          <w:p>
            <w:pPr>
              <w:jc w:val="center"/>
              <w:rPr>
                <w:rFonts w:ascii="仿宋_GB2312" w:hAnsi="宋体" w:eastAsia="仿宋_GB2312"/>
                <w:sz w:val="24"/>
              </w:rPr>
            </w:pPr>
            <w:r>
              <w:rPr>
                <w:rFonts w:hint="eastAsia" w:ascii="仿宋_GB2312" w:hAnsi="宋体" w:eastAsia="仿宋_GB2312"/>
                <w:sz w:val="24"/>
              </w:rPr>
              <w:t>通讯地址</w:t>
            </w:r>
          </w:p>
        </w:tc>
        <w:tc>
          <w:tcPr>
            <w:tcW w:w="4678" w:type="dxa"/>
            <w:gridSpan w:val="3"/>
            <w:vAlign w:val="center"/>
          </w:tcPr>
          <w:p>
            <w:pPr>
              <w:rPr>
                <w:rFonts w:hint="eastAsia" w:ascii="仿宋_GB2312" w:hAnsi="宋体" w:eastAsia="仿宋_GB2312"/>
                <w:sz w:val="24"/>
                <w:lang w:val="en-US" w:eastAsia="zh-CN"/>
              </w:rPr>
            </w:pPr>
          </w:p>
        </w:tc>
        <w:tc>
          <w:tcPr>
            <w:tcW w:w="1184" w:type="dxa"/>
            <w:vAlign w:val="center"/>
          </w:tcPr>
          <w:p>
            <w:pPr>
              <w:jc w:val="center"/>
              <w:rPr>
                <w:rFonts w:ascii="仿宋_GB2312" w:hAnsi="宋体" w:eastAsia="仿宋_GB2312"/>
                <w:sz w:val="24"/>
              </w:rPr>
            </w:pPr>
            <w:r>
              <w:rPr>
                <w:rFonts w:hint="eastAsia" w:ascii="仿宋_GB2312" w:hAnsi="宋体" w:eastAsia="仿宋_GB2312"/>
                <w:sz w:val="24"/>
              </w:rPr>
              <w:t>邮政编码</w:t>
            </w:r>
          </w:p>
        </w:tc>
        <w:tc>
          <w:tcPr>
            <w:tcW w:w="2416" w:type="dxa"/>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vAlign w:val="center"/>
          </w:tcPr>
          <w:p>
            <w:pPr>
              <w:jc w:val="center"/>
              <w:rPr>
                <w:rFonts w:ascii="仿宋_GB2312" w:hAnsi="宋体" w:eastAsia="仿宋_GB2312"/>
                <w:sz w:val="24"/>
              </w:rPr>
            </w:pPr>
            <w:r>
              <w:rPr>
                <w:rFonts w:hint="eastAsia" w:ascii="仿宋_GB2312" w:hAnsi="宋体" w:eastAsia="仿宋_GB2312"/>
                <w:sz w:val="24"/>
              </w:rPr>
              <w:t>联 系 人</w:t>
            </w:r>
          </w:p>
        </w:tc>
        <w:tc>
          <w:tcPr>
            <w:tcW w:w="1559" w:type="dxa"/>
            <w:tcBorders>
              <w:right w:val="single" w:color="auto" w:sz="4" w:space="0"/>
            </w:tcBorders>
            <w:vAlign w:val="center"/>
          </w:tcPr>
          <w:p>
            <w:pPr>
              <w:rPr>
                <w:rFonts w:ascii="仿宋_GB2312" w:hAnsi="宋体" w:eastAsia="仿宋_GB2312"/>
                <w:sz w:val="24"/>
              </w:rPr>
            </w:pPr>
          </w:p>
        </w:tc>
        <w:tc>
          <w:tcPr>
            <w:tcW w:w="1276" w:type="dxa"/>
            <w:tcBorders>
              <w:left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办公电话</w:t>
            </w:r>
          </w:p>
        </w:tc>
        <w:tc>
          <w:tcPr>
            <w:tcW w:w="1843" w:type="dxa"/>
            <w:tcBorders>
              <w:left w:val="single" w:color="auto" w:sz="4" w:space="0"/>
            </w:tcBorders>
            <w:vAlign w:val="center"/>
          </w:tcPr>
          <w:p>
            <w:pPr>
              <w:rPr>
                <w:rFonts w:ascii="仿宋_GB2312" w:hAnsi="宋体" w:eastAsia="仿宋_GB2312"/>
                <w:sz w:val="24"/>
              </w:rPr>
            </w:pPr>
          </w:p>
        </w:tc>
        <w:tc>
          <w:tcPr>
            <w:tcW w:w="1184" w:type="dxa"/>
            <w:vAlign w:val="center"/>
          </w:tcPr>
          <w:p>
            <w:pPr>
              <w:jc w:val="center"/>
              <w:rPr>
                <w:rFonts w:ascii="仿宋_GB2312" w:hAnsi="宋体" w:eastAsia="仿宋_GB2312"/>
                <w:sz w:val="24"/>
              </w:rPr>
            </w:pPr>
            <w:r>
              <w:rPr>
                <w:rFonts w:hint="eastAsia" w:ascii="仿宋_GB2312" w:hAnsi="宋体" w:eastAsia="仿宋_GB2312"/>
                <w:sz w:val="24"/>
              </w:rPr>
              <w:t xml:space="preserve">移动电话  </w:t>
            </w:r>
          </w:p>
        </w:tc>
        <w:tc>
          <w:tcPr>
            <w:tcW w:w="2416" w:type="dxa"/>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4678" w:type="dxa"/>
            <w:gridSpan w:val="3"/>
            <w:vAlign w:val="center"/>
          </w:tcPr>
          <w:p>
            <w:pPr>
              <w:rPr>
                <w:rFonts w:ascii="仿宋_GB2312" w:hAnsi="宋体" w:eastAsia="仿宋_GB2312"/>
                <w:sz w:val="24"/>
              </w:rPr>
            </w:pPr>
          </w:p>
        </w:tc>
        <w:tc>
          <w:tcPr>
            <w:tcW w:w="1184" w:type="dxa"/>
            <w:vAlign w:val="center"/>
          </w:tcPr>
          <w:p>
            <w:pPr>
              <w:jc w:val="center"/>
              <w:rPr>
                <w:rFonts w:ascii="仿宋_GB2312" w:hAnsi="宋体" w:eastAsia="仿宋_GB2312"/>
                <w:sz w:val="24"/>
              </w:rPr>
            </w:pPr>
            <w:r>
              <w:rPr>
                <w:rFonts w:hint="eastAsia" w:ascii="仿宋_GB2312" w:hAnsi="宋体" w:eastAsia="仿宋_GB2312"/>
                <w:sz w:val="24"/>
              </w:rPr>
              <w:t>传    真</w:t>
            </w:r>
          </w:p>
        </w:tc>
        <w:tc>
          <w:tcPr>
            <w:tcW w:w="2416" w:type="dxa"/>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9662" w:type="dxa"/>
            <w:gridSpan w:val="6"/>
            <w:vAlign w:val="center"/>
          </w:tcPr>
          <w:p>
            <w:pPr>
              <w:rPr>
                <w:rFonts w:ascii="仿宋_GB2312" w:eastAsia="仿宋_GB2312"/>
                <w:sz w:val="24"/>
              </w:rPr>
            </w:pPr>
            <w:r>
              <w:rPr>
                <w:rFonts w:hint="eastAsia" w:ascii="仿宋_GB2312" w:eastAsia="仿宋_GB2312"/>
                <w:sz w:val="24"/>
              </w:rPr>
              <w:t>推荐意见（限150字）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1" w:hRule="atLeast"/>
        </w:trPr>
        <w:tc>
          <w:tcPr>
            <w:tcW w:w="9662" w:type="dxa"/>
            <w:gridSpan w:val="6"/>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77" w:hRule="exact"/>
        </w:trPr>
        <w:tc>
          <w:tcPr>
            <w:tcW w:w="9662" w:type="dxa"/>
            <w:gridSpan w:val="6"/>
            <w:vAlign w:val="top"/>
          </w:tcPr>
          <w:p>
            <w:pPr>
              <w:ind w:firstLine="420" w:firstLineChars="200"/>
              <w:rPr>
                <w:rFonts w:ascii="仿宋_GB2312" w:eastAsia="仿宋_GB2312"/>
              </w:rPr>
            </w:pPr>
          </w:p>
          <w:p>
            <w:pPr>
              <w:ind w:firstLine="420" w:firstLineChars="200"/>
            </w:pPr>
            <w:r>
              <w:rPr>
                <w:rFonts w:hint="eastAsia"/>
              </w:rPr>
              <w:t>声明：</w:t>
            </w:r>
          </w:p>
          <w:p>
            <w:pPr>
              <w:ind w:firstLine="420" w:firstLineChars="200"/>
            </w:pPr>
            <w:r>
              <w:rPr>
                <w:rFonts w:hint="eastAsia"/>
              </w:rPr>
              <w:t>我单位严格按照《浙江省科学技术奖励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列入的知识产权和发表的论文为本项目独有，且未在已获国家、省科技奖励项目或本年度其它推荐项目中使用。如推荐项目发生争议，愿意协助调查处理。</w:t>
            </w:r>
          </w:p>
          <w:p>
            <w:pPr>
              <w:ind w:firstLine="420" w:firstLineChars="200"/>
            </w:pPr>
            <w:r>
              <w:rPr>
                <w:rFonts w:hint="eastAsia"/>
              </w:rPr>
              <w:t>我单位承诺将严格按照浙江省科学技术厅的有关规定和要求，认真履行作为推荐单位的义务并承担相应的责任。</w:t>
            </w:r>
          </w:p>
          <w:p>
            <w:pPr>
              <w:ind w:firstLine="420" w:firstLineChars="200"/>
            </w:pPr>
          </w:p>
          <w:p>
            <w:pPr>
              <w:ind w:firstLine="420" w:firstLineChars="200"/>
            </w:pPr>
          </w:p>
          <w:p>
            <w:pPr>
              <w:ind w:firstLine="5040" w:firstLineChars="2400"/>
            </w:pPr>
            <w:r>
              <w:rPr>
                <w:rFonts w:hint="eastAsia"/>
              </w:rPr>
              <w:t>推荐单位公章</w:t>
            </w:r>
          </w:p>
          <w:p>
            <w:pPr>
              <w:ind w:firstLine="5040" w:firstLineChars="2400"/>
            </w:pPr>
          </w:p>
          <w:p>
            <w:pPr>
              <w:ind w:firstLine="420" w:firstLineChars="200"/>
              <w:rPr>
                <w:rFonts w:ascii="仿宋_GB2312" w:hAnsi="宋体" w:eastAsia="仿宋_GB2312"/>
                <w:sz w:val="24"/>
              </w:rPr>
            </w:pPr>
            <w:r>
              <w:t xml:space="preserve">                                                        </w:t>
            </w:r>
            <w:r>
              <w:rPr>
                <w:rFonts w:hint="eastAsia"/>
              </w:rPr>
              <w:t>年</w:t>
            </w:r>
            <w:r>
              <w:t xml:space="preserve">   </w:t>
            </w:r>
            <w:r>
              <w:rPr>
                <w:rFonts w:hint="eastAsia"/>
              </w:rPr>
              <w:t>月</w:t>
            </w:r>
            <w:r>
              <w:t xml:space="preserve">   </w:t>
            </w:r>
            <w:r>
              <w:rPr>
                <w:rFonts w:hint="eastAsia"/>
              </w:rPr>
              <w:t>日</w:t>
            </w:r>
          </w:p>
        </w:tc>
      </w:tr>
    </w:tbl>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86"/>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120"/>
    <w:multiLevelType w:val="multilevel"/>
    <w:tmpl w:val="0AE0612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E4374C"/>
    <w:multiLevelType w:val="singleLevel"/>
    <w:tmpl w:val="58E4374C"/>
    <w:lvl w:ilvl="0" w:tentative="0">
      <w:start w:val="1"/>
      <w:numFmt w:val="chineseCounting"/>
      <w:suff w:val="nothing"/>
      <w:lvlText w:val="%1、"/>
      <w:lvlJc w:val="left"/>
    </w:lvl>
  </w:abstractNum>
  <w:abstractNum w:abstractNumId="2">
    <w:nsid w:val="58E457BE"/>
    <w:multiLevelType w:val="singleLevel"/>
    <w:tmpl w:val="58E457BE"/>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317B7"/>
    <w:rsid w:val="092B52EF"/>
    <w:rsid w:val="093A6C18"/>
    <w:rsid w:val="10934EFA"/>
    <w:rsid w:val="252E1663"/>
    <w:rsid w:val="26CB4172"/>
    <w:rsid w:val="3D126396"/>
    <w:rsid w:val="41AE19B5"/>
    <w:rsid w:val="4C575271"/>
    <w:rsid w:val="56414976"/>
    <w:rsid w:val="56D317B7"/>
    <w:rsid w:val="5C763A60"/>
    <w:rsid w:val="5DB455EC"/>
    <w:rsid w:val="627B6B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Plain Text"/>
    <w:basedOn w:val="1"/>
    <w:uiPriority w:val="0"/>
    <w:rPr>
      <w:rFonts w:ascii="宋体" w:hAnsi="Courier New"/>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2017-04-04T06:50:00Z</dcterms:created>
  <dc:creator>Administrator</dc:creator>
  <cp:lastModifiedBy>Administrator</cp:lastModifiedBy>
  <cp:lastPrinted>2017-04-05T02:55:00Z</cp:lastPrinted>
  <dcterms:modified xsi:type="dcterms:W3CDTF">2017-04-05T05:43:07Z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